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61" w:rsidRPr="0053364A" w:rsidRDefault="00C255C6" w:rsidP="004245A2">
      <w:pPr>
        <w:pStyle w:val="Heading1"/>
        <w:jc w:val="both"/>
        <w:rPr>
          <w:rFonts w:asciiTheme="minorHAnsi" w:hAnsiTheme="minorHAnsi"/>
          <w:sz w:val="22"/>
          <w:szCs w:val="22"/>
        </w:rPr>
      </w:pPr>
      <w:r>
        <w:rPr>
          <w:rFonts w:asciiTheme="minorHAnsi" w:hAnsiTheme="minorHAnsi"/>
          <w:noProof/>
          <w:sz w:val="22"/>
          <w:szCs w:val="22"/>
          <w:lang w:eastAsia="en-GB"/>
        </w:rPr>
        <w:pict>
          <v:rect id="Rectangle 4" o:spid="_x0000_s1026" style="position:absolute;left:0;text-align:left;margin-left:-78.75pt;margin-top:-72.75pt;width:603pt;height:8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" fillcolor="#909" stroked="f"/>
        </w:pict>
      </w:r>
      <w:r>
        <w:rPr>
          <w:rFonts w:asciiTheme="minorHAnsi" w:hAnsiTheme="minorHAnsi"/>
          <w:noProof/>
          <w:sz w:val="22"/>
          <w:szCs w:val="22"/>
          <w:lang w:eastAsia="en-GB"/>
        </w:rPr>
        <w:pict>
          <v:shapetype id="_x0000_t202" coordsize="21600,21600" o:spt="202" path="m,l,21600r21600,l21600,xe">
            <v:stroke joinstyle="miter"/>
            <v:path gradientshapeok="t" o:connecttype="rect"/>
          </v:shapetype>
          <v:shape id="Text Box 3" o:spid="_x0000_s1028" type="#_x0000_t202" style="position:absolute;left:0;text-align:left;margin-left:-1in;margin-top:-41.35pt;width:179.35pt;height:1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" filled="f" stroked="f">
            <v:textbox>
              <w:txbxContent>
                <w:p w:rsidR="00304D41" w:rsidRDefault="00304D41" w:rsidP="00537461">
                  <w:pPr>
                    <w:rPr>
                      <w:rFonts w:ascii="Gill Sans MT" w:hAnsi="Gill Sans MT"/>
                      <w:color w:val="FFFFFF"/>
                      <w:sz w:val="48"/>
                      <w:szCs w:val="48"/>
                    </w:rPr>
                  </w:pPr>
                  <w:r>
                    <w:rPr>
                      <w:noProof/>
                      <w:color w:val="0000FF"/>
                      <w:sz w:val="24"/>
                      <w:szCs w:val="24"/>
                      <w:lang w:eastAsia="en-GB"/>
                    </w:rPr>
                    <w:drawing>
                      <wp:inline distT="0" distB="0" distL="0" distR="0">
                        <wp:extent cx="1905000" cy="1552575"/>
                        <wp:effectExtent l="0" t="0" r="0" b="9525"/>
                        <wp:docPr id="2" name="Picture 2" descr="http://www.northernlightspr.com/wp-content/uploads/2012/01/bradford-new_logo_black.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orthernlightspr.com/wp-content/uploads/2012/01/bradford-new_logo_black.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552575"/>
                                </a:xfrm>
                                <a:prstGeom prst="rect">
                                  <a:avLst/>
                                </a:prstGeom>
                                <a:noFill/>
                                <a:ln>
                                  <a:noFill/>
                                </a:ln>
                              </pic:spPr>
                            </pic:pic>
                          </a:graphicData>
                        </a:graphic>
                      </wp:inline>
                    </w:drawing>
                  </w:r>
                </w:p>
              </w:txbxContent>
            </v:textbox>
          </v:shape>
        </w:pict>
      </w: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37461" w:rsidRPr="0053364A" w:rsidRDefault="00537461" w:rsidP="004245A2">
      <w:pPr>
        <w:pStyle w:val="Heading1"/>
        <w:jc w:val="both"/>
        <w:rPr>
          <w:rFonts w:asciiTheme="minorHAnsi" w:hAnsiTheme="minorHAnsi"/>
          <w:sz w:val="22"/>
          <w:szCs w:val="22"/>
        </w:rPr>
      </w:pPr>
    </w:p>
    <w:p w:rsidR="005A73C5" w:rsidRPr="001C0D51" w:rsidRDefault="005A73C5" w:rsidP="004245A2">
      <w:pPr>
        <w:spacing w:after="0" w:line="240" w:lineRule="auto"/>
        <w:jc w:val="both"/>
        <w:rPr>
          <w:rFonts w:eastAsia="Times New Roman" w:cs="Tahoma"/>
          <w:b/>
          <w:color w:val="FFFFFF" w:themeColor="background1"/>
          <w:sz w:val="72"/>
          <w:szCs w:val="72"/>
          <w:lang w:eastAsia="en-GB"/>
        </w:rPr>
      </w:pPr>
      <w:r w:rsidRPr="001C0D51">
        <w:rPr>
          <w:rFonts w:eastAsia="Times New Roman" w:cs="Tahoma"/>
          <w:b/>
          <w:color w:val="FFFFFF" w:themeColor="background1"/>
          <w:sz w:val="72"/>
          <w:szCs w:val="72"/>
          <w:lang w:eastAsia="en-GB"/>
        </w:rPr>
        <w:t xml:space="preserve">The State of the Unions: </w:t>
      </w:r>
    </w:p>
    <w:p w:rsidR="006F2C2B" w:rsidRPr="001C0D51" w:rsidRDefault="001C0D51" w:rsidP="001C0D51">
      <w:pPr>
        <w:spacing w:after="0" w:line="240" w:lineRule="auto"/>
        <w:rPr>
          <w:rFonts w:eastAsia="Times New Roman" w:cs="Tahoma"/>
          <w:b/>
          <w:color w:val="FFFFFF" w:themeColor="background1"/>
          <w:sz w:val="72"/>
          <w:szCs w:val="72"/>
          <w:lang w:eastAsia="en-GB"/>
        </w:rPr>
      </w:pPr>
      <w:proofErr w:type="gramStart"/>
      <w:r w:rsidRPr="001C0D51">
        <w:rPr>
          <w:rFonts w:eastAsia="Times New Roman" w:cs="Tahoma"/>
          <w:b/>
          <w:color w:val="FFFFFF" w:themeColor="background1"/>
          <w:sz w:val="72"/>
          <w:szCs w:val="72"/>
          <w:lang w:eastAsia="en-GB"/>
        </w:rPr>
        <w:t>union</w:t>
      </w:r>
      <w:proofErr w:type="gramEnd"/>
      <w:r w:rsidRPr="001C0D51">
        <w:rPr>
          <w:rFonts w:eastAsia="Times New Roman" w:cs="Tahoma"/>
          <w:b/>
          <w:color w:val="FFFFFF" w:themeColor="background1"/>
          <w:sz w:val="72"/>
          <w:szCs w:val="72"/>
          <w:lang w:eastAsia="en-GB"/>
        </w:rPr>
        <w:t xml:space="preserve"> </w:t>
      </w:r>
      <w:r w:rsidR="005A73C5" w:rsidRPr="001C0D51">
        <w:rPr>
          <w:rFonts w:eastAsia="Times New Roman" w:cs="Tahoma"/>
          <w:b/>
          <w:color w:val="FFFFFF" w:themeColor="background1"/>
          <w:sz w:val="72"/>
          <w:szCs w:val="72"/>
          <w:lang w:eastAsia="en-GB"/>
        </w:rPr>
        <w:t xml:space="preserve">membership and </w:t>
      </w:r>
      <w:r w:rsidR="00665DDB" w:rsidRPr="001C0D51">
        <w:rPr>
          <w:rFonts w:eastAsia="Times New Roman" w:cs="Tahoma"/>
          <w:b/>
          <w:color w:val="FFFFFF" w:themeColor="background1"/>
          <w:sz w:val="72"/>
          <w:szCs w:val="72"/>
          <w:lang w:eastAsia="en-GB"/>
        </w:rPr>
        <w:t>u</w:t>
      </w:r>
      <w:r w:rsidR="006F2C2B" w:rsidRPr="001C0D51">
        <w:rPr>
          <w:rFonts w:eastAsia="Times New Roman" w:cs="Tahoma"/>
          <w:b/>
          <w:color w:val="FFFFFF" w:themeColor="background1"/>
          <w:sz w:val="72"/>
          <w:szCs w:val="72"/>
          <w:lang w:eastAsia="en-GB"/>
        </w:rPr>
        <w:t xml:space="preserve">nion </w:t>
      </w:r>
      <w:r w:rsidR="00665DDB" w:rsidRPr="001C0D51">
        <w:rPr>
          <w:rFonts w:eastAsia="Times New Roman" w:cs="Tahoma"/>
          <w:b/>
          <w:color w:val="FFFFFF" w:themeColor="background1"/>
          <w:sz w:val="72"/>
          <w:szCs w:val="72"/>
          <w:lang w:eastAsia="en-GB"/>
        </w:rPr>
        <w:t>re</w:t>
      </w:r>
      <w:r w:rsidR="005A73C5" w:rsidRPr="001C0D51">
        <w:rPr>
          <w:rFonts w:eastAsia="Times New Roman" w:cs="Tahoma"/>
          <w:b/>
          <w:color w:val="FFFFFF" w:themeColor="background1"/>
          <w:sz w:val="72"/>
          <w:szCs w:val="72"/>
          <w:lang w:eastAsia="en-GB"/>
        </w:rPr>
        <w:t>cognition</w:t>
      </w:r>
      <w:r w:rsidR="006F2C2B" w:rsidRPr="001C0D51">
        <w:rPr>
          <w:rFonts w:eastAsia="Times New Roman" w:cs="Tahoma"/>
          <w:b/>
          <w:color w:val="FFFFFF" w:themeColor="background1"/>
          <w:sz w:val="72"/>
          <w:szCs w:val="72"/>
          <w:lang w:eastAsia="en-GB"/>
        </w:rPr>
        <w:t xml:space="preserve"> </w:t>
      </w:r>
    </w:p>
    <w:p w:rsidR="00537461" w:rsidRPr="0053364A" w:rsidRDefault="00537461" w:rsidP="001C0D51">
      <w:pPr>
        <w:pStyle w:val="BodyText"/>
        <w:rPr>
          <w:rFonts w:asciiTheme="minorHAnsi" w:hAnsiTheme="minorHAnsi"/>
          <w:b/>
          <w:sz w:val="22"/>
          <w:szCs w:val="22"/>
        </w:rPr>
      </w:pPr>
    </w:p>
    <w:p w:rsidR="00537461" w:rsidRPr="0053364A" w:rsidRDefault="00537461" w:rsidP="004245A2">
      <w:pPr>
        <w:pStyle w:val="BodyText"/>
        <w:jc w:val="both"/>
        <w:rPr>
          <w:rFonts w:asciiTheme="minorHAnsi" w:hAnsiTheme="minorHAnsi"/>
          <w:b/>
          <w:color w:val="FFFFFF"/>
          <w:sz w:val="22"/>
          <w:szCs w:val="22"/>
        </w:rPr>
      </w:pPr>
      <w:r w:rsidRPr="0053364A">
        <w:rPr>
          <w:rFonts w:asciiTheme="minorHAnsi" w:hAnsiTheme="minorHAnsi"/>
          <w:b/>
          <w:color w:val="FFFFFF"/>
          <w:sz w:val="22"/>
          <w:szCs w:val="22"/>
        </w:rPr>
        <w:t>Professor Gregor Gall</w:t>
      </w:r>
    </w:p>
    <w:p w:rsidR="00537461" w:rsidRPr="0053364A" w:rsidRDefault="00537461" w:rsidP="004245A2">
      <w:pPr>
        <w:pStyle w:val="BodyText"/>
        <w:jc w:val="both"/>
        <w:rPr>
          <w:rFonts w:asciiTheme="minorHAnsi" w:hAnsiTheme="minorHAnsi"/>
          <w:b/>
          <w:color w:val="FFFFFF"/>
          <w:sz w:val="22"/>
          <w:szCs w:val="22"/>
        </w:rPr>
      </w:pPr>
      <w:r w:rsidRPr="0053364A">
        <w:rPr>
          <w:rFonts w:asciiTheme="minorHAnsi" w:hAnsiTheme="minorHAnsi"/>
          <w:b/>
          <w:color w:val="FFFFFF"/>
          <w:sz w:val="22"/>
          <w:szCs w:val="22"/>
        </w:rPr>
        <w:t>Professor of Industrial Relations</w:t>
      </w:r>
    </w:p>
    <w:p w:rsidR="00537461" w:rsidRPr="0053364A" w:rsidRDefault="00537461" w:rsidP="004245A2">
      <w:pPr>
        <w:pStyle w:val="BodyText"/>
        <w:jc w:val="both"/>
        <w:rPr>
          <w:rFonts w:asciiTheme="minorHAnsi" w:hAnsiTheme="minorHAnsi"/>
          <w:b/>
          <w:color w:val="FFFFFF"/>
          <w:sz w:val="22"/>
          <w:szCs w:val="22"/>
        </w:rPr>
      </w:pPr>
      <w:r w:rsidRPr="0053364A">
        <w:rPr>
          <w:rFonts w:asciiTheme="minorHAnsi" w:hAnsiTheme="minorHAnsi"/>
          <w:b/>
          <w:color w:val="FFFFFF"/>
          <w:sz w:val="22"/>
          <w:szCs w:val="22"/>
        </w:rPr>
        <w:t>University of Bradford</w:t>
      </w:r>
    </w:p>
    <w:p w:rsidR="00537461" w:rsidRPr="0053364A" w:rsidRDefault="00537461" w:rsidP="004245A2">
      <w:pPr>
        <w:pStyle w:val="BodyText"/>
        <w:jc w:val="both"/>
        <w:rPr>
          <w:rFonts w:asciiTheme="minorHAnsi" w:hAnsiTheme="minorHAnsi"/>
          <w:b/>
          <w:sz w:val="22"/>
          <w:szCs w:val="22"/>
        </w:rPr>
      </w:pPr>
      <w:r w:rsidRPr="0053364A">
        <w:rPr>
          <w:rFonts w:asciiTheme="minorHAnsi" w:hAnsiTheme="minorHAnsi"/>
          <w:b/>
          <w:color w:val="FFFFFF"/>
          <w:sz w:val="22"/>
          <w:szCs w:val="22"/>
        </w:rPr>
        <w:t>Email: g.gall@bradford.ac.uk</w:t>
      </w:r>
    </w:p>
    <w:p w:rsidR="007F35FC" w:rsidRDefault="00C255C6" w:rsidP="004245A2">
      <w:pPr>
        <w:spacing w:after="0" w:line="240" w:lineRule="auto"/>
        <w:jc w:val="both"/>
      </w:pPr>
      <w:r>
        <w:rPr>
          <w:noProof/>
          <w:color w:val="FFFFFF"/>
          <w:lang w:eastAsia="en-GB"/>
        </w:rPr>
        <w:pict>
          <v:shape id="Text Box 1" o:spid="_x0000_s1027" type="#_x0000_t202" style="position:absolute;left:0;text-align:left;margin-left:-90pt;margin-top:353.1pt;width:594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" filled="f" stroked="f">
            <v:textbox>
              <w:txbxContent>
                <w:p w:rsidR="00304D41" w:rsidRDefault="00304D41" w:rsidP="00537461">
                  <w:pPr>
                    <w:jc w:val="right"/>
                    <w:rPr>
                      <w:rFonts w:ascii="Gill Sans MT" w:hAnsi="Gill Sans MT"/>
                      <w:color w:val="FFFFFF"/>
                      <w:sz w:val="36"/>
                      <w:szCs w:val="36"/>
                    </w:rPr>
                  </w:pPr>
                </w:p>
                <w:p w:rsidR="00304D41" w:rsidRDefault="00304D41" w:rsidP="00537461">
                  <w:pPr>
                    <w:jc w:val="right"/>
                    <w:rPr>
                      <w:b/>
                      <w:color w:val="FFFFFF"/>
                    </w:rPr>
                  </w:pPr>
                  <w:r>
                    <w:rPr>
                      <w:rFonts w:ascii="Gill Sans MT" w:hAnsi="Gill Sans MT"/>
                      <w:b/>
                      <w:color w:val="FFFFFF"/>
                      <w:sz w:val="36"/>
                      <w:szCs w:val="36"/>
                    </w:rPr>
                    <w:t>Employment Research Service</w:t>
                  </w:r>
                </w:p>
              </w:txbxContent>
            </v:textbox>
          </v:shape>
        </w:pict>
      </w:r>
      <w:r w:rsidR="00537461" w:rsidRPr="0053364A">
        <w:br w:type="page"/>
      </w:r>
    </w:p>
    <w:p w:rsidR="003B6018" w:rsidRPr="004237EA" w:rsidRDefault="003B6018" w:rsidP="004245A2">
      <w:pPr>
        <w:spacing w:after="0" w:line="240" w:lineRule="auto"/>
        <w:jc w:val="both"/>
        <w:rPr>
          <w:rFonts w:eastAsia="Times New Roman" w:cs="Tahoma"/>
          <w:b/>
          <w:color w:val="000000"/>
          <w:lang w:eastAsia="en-GB"/>
        </w:rPr>
      </w:pPr>
      <w:r w:rsidRPr="004237EA">
        <w:rPr>
          <w:rFonts w:eastAsia="Times New Roman" w:cs="Tahoma"/>
          <w:b/>
          <w:color w:val="000000"/>
          <w:lang w:eastAsia="en-GB"/>
        </w:rPr>
        <w:t xml:space="preserve">Introduction </w:t>
      </w:r>
    </w:p>
    <w:p w:rsidR="003B6018" w:rsidRPr="004237EA" w:rsidRDefault="003B6018" w:rsidP="004245A2">
      <w:pPr>
        <w:spacing w:after="0" w:line="240" w:lineRule="auto"/>
        <w:jc w:val="both"/>
        <w:rPr>
          <w:rFonts w:eastAsia="Times New Roman" w:cs="Tahoma"/>
          <w:b/>
          <w:color w:val="000000"/>
          <w:lang w:eastAsia="en-GB"/>
        </w:rPr>
      </w:pPr>
    </w:p>
    <w:p w:rsidR="00A32684" w:rsidRPr="004237EA" w:rsidRDefault="00A32684" w:rsidP="004245A2">
      <w:pPr>
        <w:spacing w:after="0" w:line="240" w:lineRule="auto"/>
        <w:jc w:val="both"/>
        <w:rPr>
          <w:rFonts w:ascii="Calibri" w:hAnsi="Calibri"/>
        </w:rPr>
      </w:pPr>
      <w:r w:rsidRPr="004237EA">
        <w:rPr>
          <w:rFonts w:ascii="Calibri" w:hAnsi="Calibri"/>
        </w:rPr>
        <w:t xml:space="preserve">The purpose of this report is two-fold. Firstly, to examine union membership overall and by </w:t>
      </w:r>
      <w:r w:rsidR="003B25D3">
        <w:rPr>
          <w:rFonts w:ascii="Calibri" w:hAnsi="Calibri"/>
        </w:rPr>
        <w:t xml:space="preserve">individual </w:t>
      </w:r>
      <w:r w:rsidRPr="004237EA">
        <w:rPr>
          <w:rFonts w:ascii="Calibri" w:hAnsi="Calibri"/>
        </w:rPr>
        <w:t>union, and secondly, to assess what has happened to the other obvious manifestation of union health, namely, the extent to which unions are winning new union recognition agreements from employers. Gaining new union recognition agreements indicate</w:t>
      </w:r>
      <w:r w:rsidR="00304D41">
        <w:rPr>
          <w:rFonts w:ascii="Calibri" w:hAnsi="Calibri"/>
        </w:rPr>
        <w:t>s</w:t>
      </w:r>
      <w:r w:rsidRPr="004237EA">
        <w:rPr>
          <w:rFonts w:ascii="Calibri" w:hAnsi="Calibri"/>
        </w:rPr>
        <w:t xml:space="preserve"> the extent to which unions are recruiting new members on previously non-union sites which are either </w:t>
      </w:r>
      <w:proofErr w:type="gramStart"/>
      <w:r w:rsidRPr="004237EA">
        <w:rPr>
          <w:rFonts w:ascii="Calibri" w:hAnsi="Calibri"/>
        </w:rPr>
        <w:t>greenfield</w:t>
      </w:r>
      <w:proofErr w:type="gramEnd"/>
      <w:r w:rsidRPr="004237EA">
        <w:rPr>
          <w:rFonts w:ascii="Calibri" w:hAnsi="Calibri"/>
        </w:rPr>
        <w:t xml:space="preserve"> (new/recent) or brownfield (old/existing) </w:t>
      </w:r>
      <w:r w:rsidRPr="004237EA">
        <w:rPr>
          <w:rFonts w:ascii="Calibri" w:hAnsi="Calibri"/>
          <w:i/>
        </w:rPr>
        <w:t>and</w:t>
      </w:r>
      <w:r w:rsidRPr="004237EA">
        <w:rPr>
          <w:rFonts w:ascii="Calibri" w:hAnsi="Calibri"/>
        </w:rPr>
        <w:t xml:space="preserve"> </w:t>
      </w:r>
      <w:r w:rsidR="003B25D3">
        <w:rPr>
          <w:rFonts w:ascii="Calibri" w:hAnsi="Calibri"/>
        </w:rPr>
        <w:t xml:space="preserve">then </w:t>
      </w:r>
      <w:r w:rsidRPr="004237EA">
        <w:rPr>
          <w:rFonts w:ascii="Calibri" w:hAnsi="Calibri"/>
        </w:rPr>
        <w:t xml:space="preserve">providing these members with collective representation. </w:t>
      </w:r>
    </w:p>
    <w:p w:rsidR="00A32684" w:rsidRPr="004237EA" w:rsidRDefault="00A32684" w:rsidP="004245A2">
      <w:pPr>
        <w:spacing w:after="0" w:line="240" w:lineRule="auto"/>
        <w:jc w:val="both"/>
        <w:rPr>
          <w:rFonts w:ascii="Calibri" w:hAnsi="Calibri"/>
        </w:rPr>
      </w:pPr>
    </w:p>
    <w:p w:rsidR="00CC7642" w:rsidRPr="004237EA" w:rsidRDefault="00304D41" w:rsidP="004245A2">
      <w:pPr>
        <w:spacing w:after="0" w:line="240" w:lineRule="auto"/>
        <w:jc w:val="both"/>
        <w:rPr>
          <w:rFonts w:ascii="Calibri" w:hAnsi="Calibri"/>
        </w:rPr>
      </w:pPr>
      <w:r>
        <w:rPr>
          <w:rFonts w:ascii="Calibri" w:hAnsi="Calibri"/>
        </w:rPr>
        <w:t>Starting with total</w:t>
      </w:r>
      <w:r w:rsidR="00AC37B5" w:rsidRPr="004237EA">
        <w:rPr>
          <w:rFonts w:ascii="Calibri" w:hAnsi="Calibri"/>
        </w:rPr>
        <w:t xml:space="preserve"> TUC membership (</w:t>
      </w:r>
      <w:r w:rsidR="004237EA" w:rsidRPr="004237EA">
        <w:rPr>
          <w:rFonts w:ascii="Calibri" w:hAnsi="Calibri"/>
        </w:rPr>
        <w:t xml:space="preserve">second </w:t>
      </w:r>
      <w:r w:rsidR="00AC37B5" w:rsidRPr="004237EA">
        <w:rPr>
          <w:rFonts w:ascii="Calibri" w:hAnsi="Calibri"/>
        </w:rPr>
        <w:t xml:space="preserve">bottom line, Table 1) </w:t>
      </w:r>
      <w:r>
        <w:rPr>
          <w:rFonts w:ascii="Calibri" w:hAnsi="Calibri"/>
        </w:rPr>
        <w:t xml:space="preserve">provides </w:t>
      </w:r>
      <w:r w:rsidR="00AC37B5" w:rsidRPr="004237EA">
        <w:rPr>
          <w:rFonts w:ascii="Calibri" w:hAnsi="Calibri"/>
        </w:rPr>
        <w:t xml:space="preserve">a good weathervane for judging what is happening to union membership overall for </w:t>
      </w:r>
      <w:r w:rsidR="003B25D3">
        <w:rPr>
          <w:rFonts w:ascii="Calibri" w:hAnsi="Calibri"/>
        </w:rPr>
        <w:t xml:space="preserve">the TUC </w:t>
      </w:r>
      <w:r w:rsidR="00AC37B5" w:rsidRPr="004237EA">
        <w:rPr>
          <w:rFonts w:ascii="Calibri" w:hAnsi="Calibri"/>
        </w:rPr>
        <w:t>represents the vast majority of union members in Britain (through its affiliates comprising in 2012, 54 unions</w:t>
      </w:r>
      <w:r w:rsidR="005A73C5" w:rsidRPr="004237EA">
        <w:rPr>
          <w:rFonts w:ascii="Calibri" w:hAnsi="Calibri"/>
        </w:rPr>
        <w:t xml:space="preserve"> and </w:t>
      </w:r>
      <w:r w:rsidR="00CC7642" w:rsidRPr="004237EA">
        <w:rPr>
          <w:rFonts w:ascii="Calibri" w:hAnsi="Calibri"/>
        </w:rPr>
        <w:t>52</w:t>
      </w:r>
      <w:r w:rsidR="005A73C5" w:rsidRPr="004237EA">
        <w:rPr>
          <w:rFonts w:ascii="Calibri" w:hAnsi="Calibri"/>
        </w:rPr>
        <w:t xml:space="preserve"> in 2014</w:t>
      </w:r>
      <w:r w:rsidR="003B25D3">
        <w:rPr>
          <w:rFonts w:ascii="Calibri" w:hAnsi="Calibri"/>
        </w:rPr>
        <w:t xml:space="preserve"> and covering nearly all of the biggest unions</w:t>
      </w:r>
      <w:r w:rsidR="00AC37B5" w:rsidRPr="004237EA">
        <w:rPr>
          <w:rFonts w:ascii="Calibri" w:hAnsi="Calibri"/>
        </w:rPr>
        <w:t xml:space="preserve">). </w:t>
      </w:r>
      <w:r w:rsidR="00CC7642" w:rsidRPr="004237EA">
        <w:rPr>
          <w:rFonts w:ascii="Calibri" w:hAnsi="Calibri"/>
        </w:rPr>
        <w:t xml:space="preserve">Since 2007, TUC membership has contracted by some 650,000 (and nearly one million since 1997). However, </w:t>
      </w:r>
      <w:r w:rsidR="00CC7642" w:rsidRPr="003B25D3">
        <w:rPr>
          <w:rFonts w:ascii="Calibri" w:hAnsi="Calibri"/>
          <w:i/>
        </w:rPr>
        <w:t>with</w:t>
      </w:r>
      <w:r w:rsidR="003B25D3" w:rsidRPr="003B25D3">
        <w:rPr>
          <w:rFonts w:ascii="Calibri" w:hAnsi="Calibri"/>
          <w:i/>
        </w:rPr>
        <w:t>in</w:t>
      </w:r>
      <w:r w:rsidR="00CC7642" w:rsidRPr="004237EA">
        <w:rPr>
          <w:rFonts w:ascii="Calibri" w:hAnsi="Calibri"/>
        </w:rPr>
        <w:t xml:space="preserve"> this overall picture, there is considerable diversity</w:t>
      </w:r>
      <w:r w:rsidR="00491A17" w:rsidRPr="004237EA">
        <w:rPr>
          <w:rFonts w:ascii="Calibri" w:hAnsi="Calibri"/>
        </w:rPr>
        <w:t xml:space="preserve"> amongst its affiliates</w:t>
      </w:r>
      <w:r>
        <w:rPr>
          <w:rFonts w:ascii="Calibri" w:hAnsi="Calibri"/>
        </w:rPr>
        <w:t xml:space="preserve"> which will be explored below</w:t>
      </w:r>
      <w:r w:rsidR="00CC7642" w:rsidRPr="004237EA">
        <w:rPr>
          <w:rFonts w:ascii="Calibri" w:hAnsi="Calibri"/>
        </w:rPr>
        <w:t>.</w:t>
      </w:r>
    </w:p>
    <w:p w:rsidR="00E708E9" w:rsidRPr="004237EA" w:rsidRDefault="00E708E9" w:rsidP="004245A2">
      <w:pPr>
        <w:spacing w:after="0" w:line="240" w:lineRule="auto"/>
        <w:jc w:val="both"/>
        <w:rPr>
          <w:rFonts w:ascii="Calibri" w:hAnsi="Calibri"/>
        </w:rPr>
      </w:pPr>
    </w:p>
    <w:p w:rsidR="00304D41" w:rsidRDefault="00491A17" w:rsidP="004245A2">
      <w:pPr>
        <w:spacing w:after="0" w:line="240" w:lineRule="auto"/>
        <w:jc w:val="both"/>
        <w:rPr>
          <w:rFonts w:ascii="Calibri" w:hAnsi="Calibri"/>
        </w:rPr>
      </w:pPr>
      <w:r w:rsidRPr="004237EA">
        <w:rPr>
          <w:rFonts w:ascii="Calibri" w:hAnsi="Calibri"/>
        </w:rPr>
        <w:t>B</w:t>
      </w:r>
      <w:r w:rsidR="00304D41">
        <w:rPr>
          <w:rFonts w:ascii="Calibri" w:hAnsi="Calibri"/>
        </w:rPr>
        <w:t>ut b</w:t>
      </w:r>
      <w:r w:rsidRPr="004237EA">
        <w:rPr>
          <w:rFonts w:ascii="Calibri" w:hAnsi="Calibri"/>
        </w:rPr>
        <w:t xml:space="preserve">efore looking at this, </w:t>
      </w:r>
      <w:r w:rsidR="0091723C">
        <w:rPr>
          <w:rFonts w:ascii="Calibri" w:hAnsi="Calibri"/>
        </w:rPr>
        <w:t xml:space="preserve">it is worth noting that </w:t>
      </w:r>
      <w:r w:rsidR="00AC37B5" w:rsidRPr="004237EA">
        <w:rPr>
          <w:rFonts w:ascii="Calibri" w:hAnsi="Calibri"/>
        </w:rPr>
        <w:t xml:space="preserve">absolute or aggregate union membership in Britain </w:t>
      </w:r>
      <w:r w:rsidR="0091723C">
        <w:rPr>
          <w:rFonts w:ascii="Calibri" w:hAnsi="Calibri"/>
        </w:rPr>
        <w:t xml:space="preserve">– which includes </w:t>
      </w:r>
      <w:r w:rsidR="00304D41">
        <w:rPr>
          <w:rFonts w:ascii="Calibri" w:hAnsi="Calibri"/>
        </w:rPr>
        <w:t>all unions, TUC and non-TUC</w:t>
      </w:r>
      <w:r w:rsidR="0091723C">
        <w:rPr>
          <w:rFonts w:ascii="Calibri" w:hAnsi="Calibri"/>
        </w:rPr>
        <w:t xml:space="preserve"> –</w:t>
      </w:r>
      <w:r w:rsidR="003B25D3">
        <w:rPr>
          <w:rFonts w:ascii="Calibri" w:hAnsi="Calibri"/>
        </w:rPr>
        <w:t xml:space="preserve"> </w:t>
      </w:r>
      <w:r w:rsidR="00AC37B5" w:rsidRPr="004237EA">
        <w:rPr>
          <w:rFonts w:ascii="Calibri" w:hAnsi="Calibri"/>
        </w:rPr>
        <w:t>has continued its downward trajectory despite an earlier period of stabilisation and much investment in union organising and recruitment</w:t>
      </w:r>
      <w:r w:rsidR="004237EA" w:rsidRPr="004237EA">
        <w:rPr>
          <w:rFonts w:ascii="Calibri" w:hAnsi="Calibri"/>
        </w:rPr>
        <w:t xml:space="preserve"> (bottom line, Table 1)</w:t>
      </w:r>
      <w:r w:rsidR="00AC37B5" w:rsidRPr="004237EA">
        <w:rPr>
          <w:rFonts w:ascii="Calibri" w:hAnsi="Calibri"/>
        </w:rPr>
        <w:t>. Moreover, because of a continually expanding labour market (that is the number of people available to work) over much of the last decade or so, union density, the relative measure of the number of union members as a proportion of the total labour force, has still fallen from 29.8% in 2000 to 27.4% for 2008 and 2009 and then to 26.6% for 2010</w:t>
      </w:r>
      <w:r w:rsidR="00CC7642" w:rsidRPr="004237EA">
        <w:rPr>
          <w:rFonts w:ascii="Calibri" w:hAnsi="Calibri"/>
        </w:rPr>
        <w:t xml:space="preserve">, </w:t>
      </w:r>
      <w:r w:rsidR="00AC37B5" w:rsidRPr="004237EA">
        <w:rPr>
          <w:rFonts w:ascii="Calibri" w:hAnsi="Calibri"/>
        </w:rPr>
        <w:t>26.0% in 2011</w:t>
      </w:r>
      <w:r w:rsidR="00CC7642" w:rsidRPr="004237EA">
        <w:rPr>
          <w:rFonts w:ascii="Calibri" w:hAnsi="Calibri"/>
        </w:rPr>
        <w:t xml:space="preserve">, 26.0% in 2012 and 25.6% in 2013 </w:t>
      </w:r>
      <w:r w:rsidR="00AC37B5" w:rsidRPr="004237EA">
        <w:rPr>
          <w:rFonts w:ascii="Calibri" w:hAnsi="Calibri"/>
        </w:rPr>
        <w:t>(figures from the Labour Force Survey</w:t>
      </w:r>
      <w:r w:rsidR="00CC7642" w:rsidRPr="004237EA">
        <w:rPr>
          <w:rFonts w:ascii="Calibri" w:hAnsi="Calibri"/>
        </w:rPr>
        <w:t xml:space="preserve"> and th</w:t>
      </w:r>
      <w:r w:rsidR="003B25D3">
        <w:rPr>
          <w:rFonts w:ascii="Calibri" w:hAnsi="Calibri"/>
        </w:rPr>
        <w:t>at</w:t>
      </w:r>
      <w:r w:rsidR="00CC7642" w:rsidRPr="004237EA">
        <w:rPr>
          <w:rFonts w:ascii="Calibri" w:hAnsi="Calibri"/>
        </w:rPr>
        <w:t xml:space="preserve"> for 2014 not yet available</w:t>
      </w:r>
      <w:r w:rsidR="00AC37B5" w:rsidRPr="004237EA">
        <w:rPr>
          <w:rFonts w:ascii="Calibri" w:hAnsi="Calibri"/>
        </w:rPr>
        <w:t xml:space="preserve">). </w:t>
      </w:r>
    </w:p>
    <w:p w:rsidR="00304D41" w:rsidRDefault="00304D41" w:rsidP="004245A2">
      <w:pPr>
        <w:spacing w:after="0" w:line="240" w:lineRule="auto"/>
        <w:jc w:val="both"/>
        <w:rPr>
          <w:rFonts w:ascii="Calibri" w:hAnsi="Calibri"/>
        </w:rPr>
      </w:pPr>
    </w:p>
    <w:p w:rsidR="00491A17" w:rsidRPr="004237EA" w:rsidRDefault="00491A17" w:rsidP="004245A2">
      <w:pPr>
        <w:spacing w:after="0" w:line="240" w:lineRule="auto"/>
        <w:jc w:val="both"/>
        <w:rPr>
          <w:rFonts w:ascii="Calibri" w:hAnsi="Calibri"/>
        </w:rPr>
      </w:pPr>
      <w:r w:rsidRPr="004237EA">
        <w:rPr>
          <w:rFonts w:ascii="Calibri" w:hAnsi="Calibri"/>
        </w:rPr>
        <w:t>R</w:t>
      </w:r>
      <w:r w:rsidR="00AC37B5" w:rsidRPr="004237EA">
        <w:rPr>
          <w:rFonts w:ascii="Calibri" w:hAnsi="Calibri"/>
        </w:rPr>
        <w:t>ecession in the finance sector and the manufacturing from 2007 onwards along with the most recent cuts in the public sector workforce is likely to account for the lion</w:t>
      </w:r>
      <w:r w:rsidR="00304D41">
        <w:rPr>
          <w:rFonts w:ascii="Calibri" w:hAnsi="Calibri"/>
        </w:rPr>
        <w:t>’</w:t>
      </w:r>
      <w:r w:rsidR="00AC37B5" w:rsidRPr="004237EA">
        <w:rPr>
          <w:rFonts w:ascii="Calibri" w:hAnsi="Calibri"/>
        </w:rPr>
        <w:t xml:space="preserve">s share of the loss of </w:t>
      </w:r>
      <w:r w:rsidRPr="004237EA">
        <w:rPr>
          <w:rFonts w:ascii="Calibri" w:hAnsi="Calibri"/>
        </w:rPr>
        <w:t>550,</w:t>
      </w:r>
      <w:r w:rsidR="00AC37B5" w:rsidRPr="004237EA">
        <w:rPr>
          <w:rFonts w:ascii="Calibri" w:hAnsi="Calibri"/>
        </w:rPr>
        <w:t xml:space="preserve">000 members recorded in the </w:t>
      </w:r>
      <w:r w:rsidR="00AC37B5" w:rsidRPr="003B25D3">
        <w:rPr>
          <w:rFonts w:ascii="Calibri" w:hAnsi="Calibri"/>
          <w:i/>
        </w:rPr>
        <w:t>Labour Force Survey</w:t>
      </w:r>
      <w:r w:rsidR="00AC37B5" w:rsidRPr="004237EA">
        <w:rPr>
          <w:rFonts w:ascii="Calibri" w:hAnsi="Calibri"/>
        </w:rPr>
        <w:t xml:space="preserve"> between 2007 and 201</w:t>
      </w:r>
      <w:r w:rsidRPr="004237EA">
        <w:rPr>
          <w:rFonts w:ascii="Calibri" w:hAnsi="Calibri"/>
        </w:rPr>
        <w:t>3</w:t>
      </w:r>
      <w:r w:rsidR="00AC37B5" w:rsidRPr="004237EA">
        <w:rPr>
          <w:rFonts w:ascii="Calibri" w:hAnsi="Calibri"/>
        </w:rPr>
        <w:t xml:space="preserve">. </w:t>
      </w:r>
      <w:r w:rsidRPr="004237EA">
        <w:rPr>
          <w:rFonts w:ascii="Calibri" w:hAnsi="Calibri"/>
        </w:rPr>
        <w:t xml:space="preserve"> </w:t>
      </w:r>
      <w:r w:rsidR="00AC37B5" w:rsidRPr="004237EA">
        <w:rPr>
          <w:rFonts w:ascii="Calibri" w:hAnsi="Calibri"/>
        </w:rPr>
        <w:t xml:space="preserve">In the private sector, density has fallen from 18.8% </w:t>
      </w:r>
      <w:r w:rsidRPr="004237EA">
        <w:rPr>
          <w:rFonts w:ascii="Calibri" w:hAnsi="Calibri"/>
        </w:rPr>
        <w:t>(</w:t>
      </w:r>
      <w:r w:rsidR="00AC37B5" w:rsidRPr="004237EA">
        <w:rPr>
          <w:rFonts w:ascii="Calibri" w:hAnsi="Calibri"/>
        </w:rPr>
        <w:t>2000</w:t>
      </w:r>
      <w:r w:rsidRPr="004237EA">
        <w:rPr>
          <w:rFonts w:ascii="Calibri" w:hAnsi="Calibri"/>
        </w:rPr>
        <w:t>)</w:t>
      </w:r>
      <w:r w:rsidR="00AC37B5" w:rsidRPr="004237EA">
        <w:rPr>
          <w:rFonts w:ascii="Calibri" w:hAnsi="Calibri"/>
        </w:rPr>
        <w:t xml:space="preserve"> to 15.5% </w:t>
      </w:r>
      <w:r w:rsidRPr="004237EA">
        <w:rPr>
          <w:rFonts w:ascii="Calibri" w:hAnsi="Calibri"/>
        </w:rPr>
        <w:t>(</w:t>
      </w:r>
      <w:r w:rsidR="00AC37B5" w:rsidRPr="004237EA">
        <w:rPr>
          <w:rFonts w:ascii="Calibri" w:hAnsi="Calibri"/>
        </w:rPr>
        <w:t>2008</w:t>
      </w:r>
      <w:r w:rsidRPr="004237EA">
        <w:rPr>
          <w:rFonts w:ascii="Calibri" w:hAnsi="Calibri"/>
        </w:rPr>
        <w:t>)</w:t>
      </w:r>
      <w:r w:rsidR="00AC37B5" w:rsidRPr="004237EA">
        <w:rPr>
          <w:rFonts w:ascii="Calibri" w:hAnsi="Calibri"/>
        </w:rPr>
        <w:t xml:space="preserve">, 15.1% </w:t>
      </w:r>
      <w:r w:rsidRPr="004237EA">
        <w:rPr>
          <w:rFonts w:ascii="Calibri" w:hAnsi="Calibri"/>
        </w:rPr>
        <w:t>(2</w:t>
      </w:r>
      <w:r w:rsidR="00AC37B5" w:rsidRPr="004237EA">
        <w:rPr>
          <w:rFonts w:ascii="Calibri" w:hAnsi="Calibri"/>
        </w:rPr>
        <w:t>009</w:t>
      </w:r>
      <w:r w:rsidRPr="004237EA">
        <w:rPr>
          <w:rFonts w:ascii="Calibri" w:hAnsi="Calibri"/>
        </w:rPr>
        <w:t>)</w:t>
      </w:r>
      <w:r w:rsidR="00AC37B5" w:rsidRPr="004237EA">
        <w:rPr>
          <w:rFonts w:ascii="Calibri" w:hAnsi="Calibri"/>
        </w:rPr>
        <w:t xml:space="preserve">, 14.2% </w:t>
      </w:r>
      <w:r w:rsidRPr="004237EA">
        <w:rPr>
          <w:rFonts w:ascii="Calibri" w:hAnsi="Calibri"/>
        </w:rPr>
        <w:t>(</w:t>
      </w:r>
      <w:r w:rsidR="00AC37B5" w:rsidRPr="004237EA">
        <w:rPr>
          <w:rFonts w:ascii="Calibri" w:hAnsi="Calibri"/>
        </w:rPr>
        <w:t>2010</w:t>
      </w:r>
      <w:r w:rsidRPr="004237EA">
        <w:rPr>
          <w:rFonts w:ascii="Calibri" w:hAnsi="Calibri"/>
        </w:rPr>
        <w:t>),</w:t>
      </w:r>
      <w:r w:rsidR="00AC37B5" w:rsidRPr="004237EA">
        <w:rPr>
          <w:rFonts w:ascii="Calibri" w:hAnsi="Calibri"/>
        </w:rPr>
        <w:t xml:space="preserve"> 14.</w:t>
      </w:r>
      <w:r w:rsidRPr="004237EA">
        <w:rPr>
          <w:rFonts w:ascii="Calibri" w:hAnsi="Calibri"/>
        </w:rPr>
        <w:t>2% (</w:t>
      </w:r>
      <w:r w:rsidR="00AC37B5" w:rsidRPr="004237EA">
        <w:rPr>
          <w:rFonts w:ascii="Calibri" w:hAnsi="Calibri"/>
        </w:rPr>
        <w:t>2011</w:t>
      </w:r>
      <w:r w:rsidRPr="004237EA">
        <w:rPr>
          <w:rFonts w:ascii="Calibri" w:hAnsi="Calibri"/>
        </w:rPr>
        <w:t>), 14.4% (2012) and 14.4% (2013)</w:t>
      </w:r>
      <w:r w:rsidR="00AC37B5" w:rsidRPr="004237EA">
        <w:rPr>
          <w:rFonts w:ascii="Calibri" w:hAnsi="Calibri"/>
        </w:rPr>
        <w:t>. Meantime, the corresponding figures for the public sector union density are</w:t>
      </w:r>
      <w:r w:rsidRPr="004237EA">
        <w:rPr>
          <w:rFonts w:ascii="Calibri" w:hAnsi="Calibri"/>
        </w:rPr>
        <w:t xml:space="preserve"> 60.3%</w:t>
      </w:r>
      <w:r w:rsidR="003B25D3">
        <w:rPr>
          <w:rFonts w:ascii="Calibri" w:hAnsi="Calibri"/>
        </w:rPr>
        <w:t xml:space="preserve"> (2000)</w:t>
      </w:r>
      <w:r w:rsidRPr="004237EA">
        <w:rPr>
          <w:rFonts w:ascii="Calibri" w:hAnsi="Calibri"/>
        </w:rPr>
        <w:t>, 57.1%</w:t>
      </w:r>
      <w:r w:rsidR="003B25D3">
        <w:rPr>
          <w:rFonts w:ascii="Calibri" w:hAnsi="Calibri"/>
        </w:rPr>
        <w:t xml:space="preserve"> (2008)</w:t>
      </w:r>
      <w:r w:rsidRPr="004237EA">
        <w:rPr>
          <w:rFonts w:ascii="Calibri" w:hAnsi="Calibri"/>
        </w:rPr>
        <w:t>, 56.6%</w:t>
      </w:r>
      <w:r w:rsidR="003B25D3">
        <w:rPr>
          <w:rFonts w:ascii="Calibri" w:hAnsi="Calibri"/>
        </w:rPr>
        <w:t xml:space="preserve"> (2009)</w:t>
      </w:r>
      <w:r w:rsidRPr="004237EA">
        <w:rPr>
          <w:rFonts w:ascii="Calibri" w:hAnsi="Calibri"/>
        </w:rPr>
        <w:t>, 56.3%</w:t>
      </w:r>
      <w:r w:rsidR="003B25D3">
        <w:rPr>
          <w:rFonts w:ascii="Calibri" w:hAnsi="Calibri"/>
        </w:rPr>
        <w:t xml:space="preserve"> (2010)</w:t>
      </w:r>
      <w:r w:rsidRPr="004237EA">
        <w:rPr>
          <w:rFonts w:ascii="Calibri" w:hAnsi="Calibri"/>
        </w:rPr>
        <w:t xml:space="preserve">, </w:t>
      </w:r>
      <w:r w:rsidR="00AC37B5" w:rsidRPr="004237EA">
        <w:rPr>
          <w:rFonts w:ascii="Calibri" w:hAnsi="Calibri"/>
        </w:rPr>
        <w:t>56.5%</w:t>
      </w:r>
      <w:r w:rsidR="003B25D3">
        <w:rPr>
          <w:rFonts w:ascii="Calibri" w:hAnsi="Calibri"/>
        </w:rPr>
        <w:t xml:space="preserve"> (2011)</w:t>
      </w:r>
      <w:r w:rsidRPr="004237EA">
        <w:rPr>
          <w:rFonts w:ascii="Calibri" w:hAnsi="Calibri"/>
        </w:rPr>
        <w:t xml:space="preserve">, 56.3% </w:t>
      </w:r>
      <w:r w:rsidR="003B25D3">
        <w:rPr>
          <w:rFonts w:ascii="Calibri" w:hAnsi="Calibri"/>
        </w:rPr>
        <w:t xml:space="preserve">(2012) </w:t>
      </w:r>
      <w:r w:rsidRPr="004237EA">
        <w:rPr>
          <w:rFonts w:ascii="Calibri" w:hAnsi="Calibri"/>
        </w:rPr>
        <w:t>and 55.4%</w:t>
      </w:r>
      <w:r w:rsidR="003B25D3">
        <w:rPr>
          <w:rFonts w:ascii="Calibri" w:hAnsi="Calibri"/>
        </w:rPr>
        <w:t xml:space="preserve"> (2013)</w:t>
      </w:r>
      <w:r w:rsidR="004237EA" w:rsidRPr="004237EA">
        <w:rPr>
          <w:rFonts w:ascii="Calibri" w:hAnsi="Calibri"/>
        </w:rPr>
        <w:t>. A</w:t>
      </w:r>
      <w:r w:rsidRPr="004237EA">
        <w:rPr>
          <w:rFonts w:ascii="Calibri" w:hAnsi="Calibri"/>
        </w:rPr>
        <w:t xml:space="preserve">round </w:t>
      </w:r>
      <w:r w:rsidR="00AC37B5" w:rsidRPr="004237EA">
        <w:rPr>
          <w:rFonts w:ascii="Calibri" w:hAnsi="Calibri"/>
        </w:rPr>
        <w:t>6</w:t>
      </w:r>
      <w:r w:rsidRPr="004237EA">
        <w:rPr>
          <w:rFonts w:ascii="Calibri" w:hAnsi="Calibri"/>
        </w:rPr>
        <w:t>0</w:t>
      </w:r>
      <w:r w:rsidR="00AC37B5" w:rsidRPr="004237EA">
        <w:rPr>
          <w:rFonts w:ascii="Calibri" w:hAnsi="Calibri"/>
        </w:rPr>
        <w:t xml:space="preserve">% of all union members </w:t>
      </w:r>
      <w:r w:rsidR="004237EA" w:rsidRPr="004237EA">
        <w:rPr>
          <w:rFonts w:ascii="Calibri" w:hAnsi="Calibri"/>
        </w:rPr>
        <w:t>are found in the public sector</w:t>
      </w:r>
      <w:r w:rsidR="00AC37B5" w:rsidRPr="004237EA">
        <w:rPr>
          <w:rFonts w:ascii="Calibri" w:hAnsi="Calibri"/>
        </w:rPr>
        <w:t>.</w:t>
      </w:r>
      <w:r w:rsidR="004237EA" w:rsidRPr="004237EA">
        <w:rPr>
          <w:rFonts w:ascii="Calibri" w:hAnsi="Calibri"/>
        </w:rPr>
        <w:t xml:space="preserve"> What is of note here is the recent stabilisation in the private sector but the continuing fall in the public sector.</w:t>
      </w:r>
      <w:r w:rsidR="00AC37B5" w:rsidRPr="004237EA">
        <w:rPr>
          <w:rFonts w:ascii="Calibri" w:hAnsi="Calibri"/>
        </w:rPr>
        <w:t xml:space="preserve"> </w:t>
      </w:r>
    </w:p>
    <w:p w:rsidR="004237EA" w:rsidRDefault="004237EA" w:rsidP="004245A2">
      <w:pPr>
        <w:spacing w:after="0" w:line="240" w:lineRule="auto"/>
        <w:jc w:val="both"/>
        <w:rPr>
          <w:rFonts w:ascii="Calibri" w:hAnsi="Calibri"/>
        </w:rPr>
      </w:pPr>
    </w:p>
    <w:p w:rsidR="004237EA" w:rsidRDefault="004237EA" w:rsidP="004245A2">
      <w:pPr>
        <w:spacing w:after="0" w:line="240" w:lineRule="auto"/>
        <w:jc w:val="both"/>
        <w:rPr>
          <w:rFonts w:ascii="Calibri" w:hAnsi="Calibri"/>
          <w:b/>
        </w:rPr>
      </w:pPr>
      <w:r w:rsidRPr="005A73C5">
        <w:rPr>
          <w:rFonts w:ascii="Calibri" w:hAnsi="Calibri"/>
          <w:b/>
        </w:rPr>
        <w:t>Table 1: Union membership in millions – biggest TUC unions, 1997-201</w:t>
      </w:r>
      <w:r>
        <w:rPr>
          <w:rFonts w:ascii="Calibri" w:hAnsi="Calibri"/>
          <w:b/>
        </w:rPr>
        <w:t>4</w:t>
      </w:r>
      <w:r w:rsidRPr="005A73C5">
        <w:rPr>
          <w:rFonts w:ascii="Calibri" w:hAnsi="Calibri"/>
          <w:b/>
        </w:rPr>
        <w:t xml:space="preserve">   </w:t>
      </w:r>
    </w:p>
    <w:p w:rsidR="004245A2" w:rsidRPr="005A73C5" w:rsidRDefault="004245A2" w:rsidP="004245A2">
      <w:pPr>
        <w:spacing w:after="0" w:line="240" w:lineRule="auto"/>
        <w:jc w:val="both"/>
        <w:rPr>
          <w:rFonts w:ascii="Calibri" w:hAnsi="Calibri"/>
          <w:b/>
        </w:rPr>
      </w:pPr>
    </w:p>
    <w:tbl>
      <w:tblPr>
        <w:tblW w:w="45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5"/>
        <w:gridCol w:w="734"/>
        <w:gridCol w:w="734"/>
        <w:gridCol w:w="734"/>
        <w:gridCol w:w="791"/>
        <w:gridCol w:w="791"/>
        <w:gridCol w:w="791"/>
        <w:gridCol w:w="791"/>
        <w:gridCol w:w="791"/>
        <w:gridCol w:w="789"/>
      </w:tblGrid>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Union</w:t>
            </w:r>
          </w:p>
        </w:tc>
        <w:tc>
          <w:tcPr>
            <w:tcW w:w="434"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2014</w:t>
            </w:r>
          </w:p>
        </w:tc>
        <w:tc>
          <w:tcPr>
            <w:tcW w:w="434"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2013</w:t>
            </w:r>
          </w:p>
        </w:tc>
        <w:tc>
          <w:tcPr>
            <w:tcW w:w="434"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2012</w:t>
            </w:r>
          </w:p>
        </w:tc>
        <w:tc>
          <w:tcPr>
            <w:tcW w:w="468"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2011</w:t>
            </w:r>
          </w:p>
        </w:tc>
        <w:tc>
          <w:tcPr>
            <w:tcW w:w="468"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2010</w:t>
            </w:r>
          </w:p>
        </w:tc>
        <w:tc>
          <w:tcPr>
            <w:tcW w:w="468"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2009</w:t>
            </w:r>
          </w:p>
        </w:tc>
        <w:tc>
          <w:tcPr>
            <w:tcW w:w="468" w:type="pct"/>
          </w:tcPr>
          <w:p w:rsidR="004237EA" w:rsidRPr="004245A2" w:rsidRDefault="004237EA" w:rsidP="004245A2">
            <w:pPr>
              <w:spacing w:after="0" w:line="240" w:lineRule="auto"/>
              <w:jc w:val="both"/>
              <w:rPr>
                <w:rFonts w:ascii="Calibri" w:hAnsi="Calibri"/>
                <w:b/>
                <w:color w:val="000000"/>
                <w:lang w:eastAsia="en-GB"/>
              </w:rPr>
            </w:pP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2008</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2007</w:t>
            </w:r>
          </w:p>
        </w:tc>
        <w:tc>
          <w:tcPr>
            <w:tcW w:w="467" w:type="pct"/>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1997</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Unite</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1.310</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1.319</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1.407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1.414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1.474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1.558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1.952</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1.941</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n/a</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Unison</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1.267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1.301</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1.317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1.374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1.374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1.362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1.344</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1.343</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1.375</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GMB</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0.617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0.613</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0.610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0.602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0.601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0.601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0.590</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0.576</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0.718</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USDAW</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0.433</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0.426</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0.412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0.398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0.386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0.371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0.356</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0.341</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0.290</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NUT</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0.331</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0.327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0.324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0.308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0.295</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0.283</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0.270</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0.188</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NASUWT</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0.293</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0.294</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0.282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0.279</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0.275</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0.265</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0.251</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0.166</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PCS</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0.247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0.263</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0.281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0.292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0.302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0.300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0.305</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0.311</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0.266</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CWU</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0.202</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0.202</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0.204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0.208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0.218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0.231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0.237</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0.240</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0.275</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UCATT</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0.087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0.084</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0.084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0.131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0.129</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0.129</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0.112</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UCU</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0.113</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0.119</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0.117</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0.118</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0.107</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ATL</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0.128</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0.128</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0.132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0.122</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0.121</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0.118</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n/a</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Prospect</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0.119</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0.121</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0.103</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0.102</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0.108</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RMT</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0.080</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0.076</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0.079</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0.080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0.078</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0.075</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0.060</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Community</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0.032</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0.050</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0.067</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0.067</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0.091</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EIS</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0.054</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0.055</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0.059</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0.060</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0.060</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0.059</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0.050</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FBU</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0.040</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0.041</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0.044</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0.045</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0.045</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0.046</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0.055</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Equity</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0.038</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0.037</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0.037</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0.035</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POA</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0.031</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0.031</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0.033</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0.035</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0.027</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CSP</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0.040</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0.039</w:t>
            </w:r>
          </w:p>
        </w:tc>
        <w:tc>
          <w:tcPr>
            <w:tcW w:w="434"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0.038</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0.036</w:t>
            </w:r>
          </w:p>
        </w:tc>
        <w:tc>
          <w:tcPr>
            <w:tcW w:w="468" w:type="pct"/>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0.035</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0.035</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0.029</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 xml:space="preserve">Total TUC </w:t>
            </w: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Membership</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5.815</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5.855</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5.977</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6.056</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6.135</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6.201</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6.538</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6.471</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6.756</w:t>
            </w:r>
          </w:p>
        </w:tc>
      </w:tr>
      <w:tr w:rsidR="004237EA" w:rsidRPr="004245A2" w:rsidTr="00304D41">
        <w:trPr>
          <w:trHeight w:val="300"/>
        </w:trPr>
        <w:tc>
          <w:tcPr>
            <w:tcW w:w="890" w:type="pct"/>
            <w:shd w:val="clear" w:color="auto" w:fill="auto"/>
            <w:noWrap/>
            <w:vAlign w:val="bottom"/>
          </w:tcPr>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 xml:space="preserve">Total union </w:t>
            </w:r>
          </w:p>
          <w:p w:rsidR="004237EA" w:rsidRPr="004245A2" w:rsidRDefault="004237EA" w:rsidP="004245A2">
            <w:pPr>
              <w:spacing w:after="0" w:line="240" w:lineRule="auto"/>
              <w:jc w:val="both"/>
              <w:rPr>
                <w:rFonts w:ascii="Calibri" w:hAnsi="Calibri"/>
                <w:b/>
                <w:color w:val="000000"/>
                <w:lang w:eastAsia="en-GB"/>
              </w:rPr>
            </w:pPr>
            <w:r w:rsidRPr="004245A2">
              <w:rPr>
                <w:rFonts w:ascii="Calibri" w:hAnsi="Calibri"/>
                <w:b/>
                <w:color w:val="000000"/>
                <w:lang w:eastAsia="en-GB"/>
              </w:rPr>
              <w:t>membership</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n/a</w:t>
            </w:r>
            <w:r w:rsidR="00304D41" w:rsidRPr="004245A2">
              <w:rPr>
                <w:rFonts w:ascii="Calibri" w:hAnsi="Calibri"/>
                <w:color w:val="000000"/>
                <w:lang w:eastAsia="en-GB"/>
              </w:rPr>
              <w:t xml:space="preserve"> </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6.449</w:t>
            </w:r>
          </w:p>
        </w:tc>
        <w:tc>
          <w:tcPr>
            <w:tcW w:w="434"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6.455</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6.396</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6.530</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6.710</w:t>
            </w:r>
          </w:p>
        </w:tc>
        <w:tc>
          <w:tcPr>
            <w:tcW w:w="468" w:type="pct"/>
          </w:tcPr>
          <w:p w:rsidR="004237EA" w:rsidRPr="004245A2" w:rsidRDefault="004237EA" w:rsidP="004245A2">
            <w:pPr>
              <w:spacing w:after="0" w:line="240" w:lineRule="auto"/>
              <w:jc w:val="both"/>
              <w:rPr>
                <w:rFonts w:ascii="Calibri" w:hAnsi="Calibri"/>
                <w:color w:val="000000"/>
                <w:lang w:eastAsia="en-GB"/>
              </w:rPr>
            </w:pPr>
          </w:p>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6.869</w:t>
            </w:r>
          </w:p>
        </w:tc>
        <w:tc>
          <w:tcPr>
            <w:tcW w:w="468" w:type="pct"/>
            <w:shd w:val="clear" w:color="auto" w:fill="auto"/>
            <w:noWrap/>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6.999</w:t>
            </w:r>
          </w:p>
        </w:tc>
        <w:tc>
          <w:tcPr>
            <w:tcW w:w="467" w:type="pct"/>
            <w:vAlign w:val="bottom"/>
          </w:tcPr>
          <w:p w:rsidR="004237EA" w:rsidRPr="004245A2" w:rsidRDefault="004237EA" w:rsidP="004245A2">
            <w:pPr>
              <w:spacing w:after="0" w:line="240" w:lineRule="auto"/>
              <w:jc w:val="both"/>
              <w:rPr>
                <w:rFonts w:ascii="Calibri" w:hAnsi="Calibri"/>
                <w:color w:val="000000"/>
                <w:lang w:eastAsia="en-GB"/>
              </w:rPr>
            </w:pPr>
            <w:r w:rsidRPr="004245A2">
              <w:rPr>
                <w:rFonts w:ascii="Calibri" w:hAnsi="Calibri"/>
                <w:color w:val="000000"/>
                <w:lang w:eastAsia="en-GB"/>
              </w:rPr>
              <w:t>6.900</w:t>
            </w:r>
          </w:p>
        </w:tc>
      </w:tr>
    </w:tbl>
    <w:p w:rsidR="004237EA" w:rsidRPr="00FA18B8" w:rsidRDefault="004237EA" w:rsidP="004245A2">
      <w:pPr>
        <w:spacing w:after="0" w:line="240" w:lineRule="auto"/>
        <w:jc w:val="both"/>
        <w:rPr>
          <w:rFonts w:ascii="Calibri" w:hAnsi="Calibri"/>
        </w:rPr>
      </w:pPr>
      <w:r w:rsidRPr="004245A2">
        <w:rPr>
          <w:rFonts w:ascii="Calibri" w:hAnsi="Calibri"/>
          <w:i/>
        </w:rPr>
        <w:t>Sour</w:t>
      </w:r>
      <w:r w:rsidRPr="00FA18B8">
        <w:rPr>
          <w:rFonts w:ascii="Calibri" w:hAnsi="Calibri"/>
          <w:i/>
        </w:rPr>
        <w:t>ce</w:t>
      </w:r>
      <w:r>
        <w:rPr>
          <w:rFonts w:ascii="Calibri" w:hAnsi="Calibri"/>
        </w:rPr>
        <w:t>: TUC Annual Directories</w:t>
      </w:r>
      <w:r w:rsidRPr="00FA18B8">
        <w:rPr>
          <w:rFonts w:ascii="Calibri" w:hAnsi="Calibri"/>
        </w:rPr>
        <w:t>. The figures are those from the affiliates themselves when they affiliate their declared level of membership.</w:t>
      </w:r>
      <w:r>
        <w:rPr>
          <w:rFonts w:ascii="Calibri" w:hAnsi="Calibri"/>
        </w:rPr>
        <w:t xml:space="preserve"> Overall membership figures are from the </w:t>
      </w:r>
      <w:r w:rsidRPr="00850D02">
        <w:rPr>
          <w:rFonts w:ascii="Calibri" w:hAnsi="Calibri"/>
          <w:i/>
        </w:rPr>
        <w:t>Labour Force Survey</w:t>
      </w:r>
      <w:r>
        <w:rPr>
          <w:rFonts w:ascii="Calibri" w:hAnsi="Calibri"/>
        </w:rPr>
        <w:t>.</w:t>
      </w:r>
    </w:p>
    <w:p w:rsidR="004237EA" w:rsidRDefault="004237EA" w:rsidP="004245A2">
      <w:pPr>
        <w:spacing w:after="0" w:line="240" w:lineRule="auto"/>
        <w:jc w:val="both"/>
        <w:rPr>
          <w:rFonts w:ascii="Calibri" w:hAnsi="Calibri"/>
          <w:b/>
        </w:rPr>
      </w:pPr>
    </w:p>
    <w:p w:rsidR="00AC37B5" w:rsidRPr="00FA18B8" w:rsidRDefault="00AC37B5" w:rsidP="004245A2">
      <w:pPr>
        <w:spacing w:after="0" w:line="240" w:lineRule="auto"/>
        <w:jc w:val="both"/>
        <w:rPr>
          <w:rFonts w:ascii="Calibri" w:hAnsi="Calibri"/>
          <w:b/>
        </w:rPr>
      </w:pPr>
      <w:r>
        <w:rPr>
          <w:rFonts w:ascii="Calibri" w:hAnsi="Calibri"/>
          <w:b/>
        </w:rPr>
        <w:t xml:space="preserve">Growth </w:t>
      </w:r>
      <w:r w:rsidR="004237EA">
        <w:rPr>
          <w:rFonts w:ascii="Calibri" w:hAnsi="Calibri"/>
          <w:b/>
        </w:rPr>
        <w:t xml:space="preserve">and decline </w:t>
      </w:r>
      <w:r>
        <w:rPr>
          <w:rFonts w:ascii="Calibri" w:hAnsi="Calibri"/>
          <w:b/>
        </w:rPr>
        <w:t>b</w:t>
      </w:r>
      <w:r w:rsidRPr="00FA18B8">
        <w:rPr>
          <w:rFonts w:ascii="Calibri" w:hAnsi="Calibri"/>
          <w:b/>
        </w:rPr>
        <w:t xml:space="preserve">y </w:t>
      </w:r>
      <w:r>
        <w:rPr>
          <w:rFonts w:ascii="Calibri" w:hAnsi="Calibri"/>
          <w:b/>
        </w:rPr>
        <w:t>u</w:t>
      </w:r>
      <w:r w:rsidRPr="00FA18B8">
        <w:rPr>
          <w:rFonts w:ascii="Calibri" w:hAnsi="Calibri"/>
          <w:b/>
        </w:rPr>
        <w:t>nion</w:t>
      </w:r>
    </w:p>
    <w:p w:rsidR="007077CD" w:rsidRDefault="007077CD" w:rsidP="004245A2">
      <w:pPr>
        <w:spacing w:after="0" w:line="240" w:lineRule="auto"/>
        <w:jc w:val="both"/>
      </w:pPr>
    </w:p>
    <w:p w:rsidR="007077CD" w:rsidRDefault="004237EA" w:rsidP="004245A2">
      <w:pPr>
        <w:spacing w:after="0" w:line="240" w:lineRule="auto"/>
        <w:jc w:val="both"/>
      </w:pPr>
      <w:r>
        <w:t>In th</w:t>
      </w:r>
      <w:r w:rsidR="00304D41">
        <w:t>is s</w:t>
      </w:r>
      <w:r>
        <w:t>e</w:t>
      </w:r>
      <w:r w:rsidR="00304D41">
        <w:t>ction</w:t>
      </w:r>
      <w:r>
        <w:t>, and based on Table 1, a ‘h</w:t>
      </w:r>
      <w:r w:rsidR="007077CD" w:rsidRPr="00425E5B">
        <w:t>eadline</w:t>
      </w:r>
      <w:r>
        <w:t>’ is</w:t>
      </w:r>
      <w:r w:rsidR="007077CD" w:rsidRPr="00425E5B">
        <w:t xml:space="preserve"> followed by more detailed comment</w:t>
      </w:r>
      <w:r>
        <w:t xml:space="preserve"> for each major union</w:t>
      </w:r>
      <w:r w:rsidR="007077CD" w:rsidRPr="00425E5B">
        <w:t>.</w:t>
      </w:r>
      <w:r>
        <w:t xml:space="preserve"> After this, some assessment is made of the unions overall. </w:t>
      </w:r>
    </w:p>
    <w:p w:rsidR="007077CD" w:rsidRPr="00425E5B" w:rsidRDefault="007077CD" w:rsidP="004245A2">
      <w:pPr>
        <w:spacing w:after="0" w:line="240" w:lineRule="auto"/>
        <w:jc w:val="both"/>
      </w:pPr>
    </w:p>
    <w:p w:rsidR="007077CD" w:rsidRDefault="007077CD" w:rsidP="004245A2">
      <w:pPr>
        <w:spacing w:after="0" w:line="240" w:lineRule="auto"/>
        <w:jc w:val="both"/>
      </w:pPr>
      <w:r w:rsidRPr="00425E5B">
        <w:rPr>
          <w:i/>
        </w:rPr>
        <w:t>Unite has continued to lose members but the rate of decline has slowed up.</w:t>
      </w:r>
      <w:r w:rsidRPr="00425E5B">
        <w:t xml:space="preserve"> After either an inflated initial membership figure immediately following the creation of the new union and/or the cleaning up of membership records</w:t>
      </w:r>
      <w:r>
        <w:t>, the continuation of substantial resources put into its union</w:t>
      </w:r>
      <w:r w:rsidR="003A4F1B">
        <w:t xml:space="preserve"> organising programme</w:t>
      </w:r>
      <w:r w:rsidR="003B25D3">
        <w:t xml:space="preserve"> has not managed to stem the decline but merely slow it up what is often substantial membership loss</w:t>
      </w:r>
      <w:r w:rsidR="003A4F1B">
        <w:t>.</w:t>
      </w:r>
    </w:p>
    <w:p w:rsidR="003A4F1B" w:rsidRDefault="003A4F1B" w:rsidP="004245A2">
      <w:pPr>
        <w:spacing w:after="0" w:line="240" w:lineRule="auto"/>
        <w:jc w:val="both"/>
      </w:pPr>
    </w:p>
    <w:p w:rsidR="007077CD" w:rsidRPr="00425E5B" w:rsidRDefault="007077CD" w:rsidP="004245A2">
      <w:pPr>
        <w:spacing w:after="0" w:line="240" w:lineRule="auto"/>
        <w:jc w:val="both"/>
      </w:pPr>
      <w:r w:rsidRPr="00425E5B">
        <w:rPr>
          <w:i/>
        </w:rPr>
        <w:t>Unison’s membership has remained relatively stable and buoyant over the piece</w:t>
      </w:r>
      <w:r>
        <w:t xml:space="preserve">. Initially, Unison experienced some growth in membership but this was curtailed in the early 2010s where after it has experienced a decline of between 5%-10%. It has developed a particular form of union organising based upon its branches </w:t>
      </w:r>
      <w:r w:rsidR="004101E2">
        <w:t>applying for the funds to do so.</w:t>
      </w:r>
    </w:p>
    <w:p w:rsidR="007077CD" w:rsidRPr="00425E5B" w:rsidRDefault="007077CD" w:rsidP="004245A2">
      <w:pPr>
        <w:spacing w:after="0" w:line="240" w:lineRule="auto"/>
        <w:jc w:val="both"/>
      </w:pPr>
    </w:p>
    <w:p w:rsidR="007077CD" w:rsidRDefault="007077CD" w:rsidP="004245A2">
      <w:pPr>
        <w:spacing w:after="0" w:line="240" w:lineRule="auto"/>
        <w:jc w:val="both"/>
      </w:pPr>
      <w:r w:rsidRPr="00425E5B">
        <w:rPr>
          <w:i/>
        </w:rPr>
        <w:t xml:space="preserve">The GMB has experienced considerable growth. </w:t>
      </w:r>
      <w:r>
        <w:t>Since the beginning of the economic crisis, the GMB has managed to put on substantial numbers of members, with around a 7% growth</w:t>
      </w:r>
      <w:r w:rsidR="003B25D3">
        <w:t xml:space="preserve"> rate figure</w:t>
      </w:r>
      <w:r>
        <w:t>. This must be attributed to the success of its union organising approach which combines recruitment and retention with representation.</w:t>
      </w:r>
    </w:p>
    <w:p w:rsidR="007077CD" w:rsidRDefault="007077CD" w:rsidP="004245A2">
      <w:pPr>
        <w:spacing w:after="0" w:line="240" w:lineRule="auto"/>
        <w:jc w:val="both"/>
      </w:pPr>
    </w:p>
    <w:p w:rsidR="007077CD" w:rsidRPr="007077CD" w:rsidRDefault="007077CD" w:rsidP="004245A2">
      <w:pPr>
        <w:spacing w:after="0" w:line="240" w:lineRule="auto"/>
        <w:jc w:val="both"/>
      </w:pPr>
      <w:r w:rsidRPr="007077CD">
        <w:rPr>
          <w:i/>
        </w:rPr>
        <w:t xml:space="preserve">USDAW has recorded spectacular growth. </w:t>
      </w:r>
      <w:r>
        <w:t>Since 2007, USDAW has recorded growth of up to 30%. It practices its own form of union organising and the majority of its members are found within a small number of very large supermarkets where union density is high but far from total.</w:t>
      </w:r>
      <w:r w:rsidR="003B25D3">
        <w:t xml:space="preserve"> USDAW pursues a clear partnership approach with employers.</w:t>
      </w:r>
    </w:p>
    <w:p w:rsidR="007077CD" w:rsidRDefault="007077CD" w:rsidP="004245A2">
      <w:pPr>
        <w:spacing w:after="0" w:line="240" w:lineRule="auto"/>
        <w:jc w:val="both"/>
        <w:rPr>
          <w:rFonts w:ascii="Calibri" w:hAnsi="Calibri"/>
        </w:rPr>
      </w:pPr>
    </w:p>
    <w:p w:rsidR="007077CD" w:rsidRDefault="007077CD" w:rsidP="004245A2">
      <w:pPr>
        <w:spacing w:after="0" w:line="240" w:lineRule="auto"/>
        <w:jc w:val="both"/>
        <w:rPr>
          <w:rFonts w:ascii="Calibri" w:hAnsi="Calibri"/>
        </w:rPr>
      </w:pPr>
      <w:r w:rsidRPr="003009A4">
        <w:rPr>
          <w:rFonts w:ascii="Calibri" w:hAnsi="Calibri"/>
          <w:i/>
        </w:rPr>
        <w:t xml:space="preserve">Both the NUT and NASUWT had witnessed serious </w:t>
      </w:r>
      <w:r w:rsidR="003B25D3">
        <w:rPr>
          <w:rFonts w:ascii="Calibri" w:hAnsi="Calibri"/>
          <w:i/>
        </w:rPr>
        <w:t xml:space="preserve">membership </w:t>
      </w:r>
      <w:r w:rsidRPr="003009A4">
        <w:rPr>
          <w:rFonts w:ascii="Calibri" w:hAnsi="Calibri"/>
          <w:i/>
        </w:rPr>
        <w:t xml:space="preserve">growth since 2007. </w:t>
      </w:r>
      <w:r>
        <w:rPr>
          <w:rFonts w:ascii="Calibri" w:hAnsi="Calibri"/>
        </w:rPr>
        <w:t xml:space="preserve">Both teaching unions have ploughed </w:t>
      </w:r>
      <w:r w:rsidR="003009A4">
        <w:rPr>
          <w:rFonts w:ascii="Calibri" w:hAnsi="Calibri"/>
        </w:rPr>
        <w:t xml:space="preserve">considerable resources into recruitment and this has paid off </w:t>
      </w:r>
      <w:r w:rsidR="003B25D3">
        <w:rPr>
          <w:rFonts w:ascii="Calibri" w:hAnsi="Calibri"/>
        </w:rPr>
        <w:t xml:space="preserve">in the context of </w:t>
      </w:r>
      <w:r w:rsidR="003009A4">
        <w:rPr>
          <w:rFonts w:ascii="Calibri" w:hAnsi="Calibri"/>
        </w:rPr>
        <w:t>teacher numbers hav</w:t>
      </w:r>
      <w:r w:rsidR="003B25D3">
        <w:rPr>
          <w:rFonts w:ascii="Calibri" w:hAnsi="Calibri"/>
        </w:rPr>
        <w:t>ing</w:t>
      </w:r>
      <w:r w:rsidR="003009A4">
        <w:rPr>
          <w:rFonts w:ascii="Calibri" w:hAnsi="Calibri"/>
        </w:rPr>
        <w:t xml:space="preserve"> remain</w:t>
      </w:r>
      <w:r w:rsidR="003B25D3">
        <w:rPr>
          <w:rFonts w:ascii="Calibri" w:hAnsi="Calibri"/>
        </w:rPr>
        <w:t>ed</w:t>
      </w:r>
      <w:r w:rsidR="003009A4">
        <w:rPr>
          <w:rFonts w:ascii="Calibri" w:hAnsi="Calibri"/>
        </w:rPr>
        <w:t xml:space="preserve"> steady throughout the period.</w:t>
      </w:r>
    </w:p>
    <w:p w:rsidR="003A4F1B" w:rsidRDefault="003A4F1B" w:rsidP="004245A2">
      <w:pPr>
        <w:spacing w:after="0" w:line="240" w:lineRule="auto"/>
        <w:jc w:val="both"/>
        <w:rPr>
          <w:rFonts w:ascii="Calibri" w:hAnsi="Calibri"/>
        </w:rPr>
      </w:pPr>
    </w:p>
    <w:p w:rsidR="003A4F1B" w:rsidRDefault="003A4F1B" w:rsidP="004245A2">
      <w:pPr>
        <w:spacing w:after="0" w:line="240" w:lineRule="auto"/>
        <w:jc w:val="both"/>
        <w:rPr>
          <w:rFonts w:ascii="Calibri" w:hAnsi="Calibri"/>
        </w:rPr>
      </w:pPr>
      <w:r w:rsidRPr="003A4F1B">
        <w:rPr>
          <w:rFonts w:ascii="Calibri" w:hAnsi="Calibri"/>
          <w:i/>
        </w:rPr>
        <w:t>PCS has experienced considerable membership decline</w:t>
      </w:r>
      <w:r>
        <w:rPr>
          <w:rFonts w:ascii="Calibri" w:hAnsi="Calibri"/>
        </w:rPr>
        <w:t xml:space="preserve">. A fall of around 20% in membership has taken place despite </w:t>
      </w:r>
      <w:r w:rsidR="00546290">
        <w:rPr>
          <w:rFonts w:ascii="Calibri" w:hAnsi="Calibri"/>
        </w:rPr>
        <w:t xml:space="preserve">vigorous energy and resources </w:t>
      </w:r>
      <w:r w:rsidR="003B25D3">
        <w:rPr>
          <w:rFonts w:ascii="Calibri" w:hAnsi="Calibri"/>
        </w:rPr>
        <w:t xml:space="preserve">being </w:t>
      </w:r>
      <w:r w:rsidR="00546290">
        <w:rPr>
          <w:rFonts w:ascii="Calibri" w:hAnsi="Calibri"/>
        </w:rPr>
        <w:t>ploughed into organising to recruit and retain members and gain union recognition</w:t>
      </w:r>
      <w:r w:rsidR="003B25D3">
        <w:rPr>
          <w:rFonts w:ascii="Calibri" w:hAnsi="Calibri"/>
        </w:rPr>
        <w:t xml:space="preserve"> in new and existing areas</w:t>
      </w:r>
      <w:r w:rsidR="00546290">
        <w:rPr>
          <w:rFonts w:ascii="Calibri" w:hAnsi="Calibri"/>
        </w:rPr>
        <w:t>. This has resulted from the massive tranche of job cuts across the civil service under the current Coalition government.</w:t>
      </w:r>
    </w:p>
    <w:p w:rsidR="00546290" w:rsidRDefault="00546290" w:rsidP="004245A2">
      <w:pPr>
        <w:spacing w:after="0" w:line="240" w:lineRule="auto"/>
        <w:jc w:val="both"/>
        <w:rPr>
          <w:rFonts w:ascii="Calibri" w:hAnsi="Calibri"/>
        </w:rPr>
      </w:pPr>
    </w:p>
    <w:p w:rsidR="00546290" w:rsidRDefault="00546290" w:rsidP="004245A2">
      <w:pPr>
        <w:spacing w:after="0" w:line="240" w:lineRule="auto"/>
        <w:jc w:val="both"/>
        <w:rPr>
          <w:rFonts w:ascii="Calibri" w:hAnsi="Calibri"/>
        </w:rPr>
      </w:pPr>
      <w:r w:rsidRPr="005C1674">
        <w:rPr>
          <w:rFonts w:ascii="Calibri" w:hAnsi="Calibri"/>
          <w:i/>
        </w:rPr>
        <w:t>CWU membership has fallen b</w:t>
      </w:r>
      <w:r w:rsidR="005C1674">
        <w:rPr>
          <w:rFonts w:ascii="Calibri" w:hAnsi="Calibri"/>
          <w:i/>
        </w:rPr>
        <w:t>ut has</w:t>
      </w:r>
      <w:r w:rsidRPr="005C1674">
        <w:rPr>
          <w:rFonts w:ascii="Calibri" w:hAnsi="Calibri"/>
          <w:i/>
        </w:rPr>
        <w:t xml:space="preserve"> now stabilised</w:t>
      </w:r>
      <w:r>
        <w:rPr>
          <w:rFonts w:ascii="Calibri" w:hAnsi="Calibri"/>
        </w:rPr>
        <w:t xml:space="preserve">. Experiencing employment </w:t>
      </w:r>
      <w:r w:rsidR="005C1674">
        <w:rPr>
          <w:rFonts w:ascii="Calibri" w:hAnsi="Calibri"/>
        </w:rPr>
        <w:t xml:space="preserve">contraction </w:t>
      </w:r>
      <w:r>
        <w:rPr>
          <w:rFonts w:ascii="Calibri" w:hAnsi="Calibri"/>
        </w:rPr>
        <w:t>and, thus, membership contraction in its heartlands of Royal Mail and BT, the CWU has sought to counter this by organising in the growi</w:t>
      </w:r>
      <w:r w:rsidR="005C1674">
        <w:rPr>
          <w:rFonts w:ascii="Calibri" w:hAnsi="Calibri"/>
        </w:rPr>
        <w:t>ng areas of telecommunications and the private mail providers.</w:t>
      </w:r>
    </w:p>
    <w:p w:rsidR="00AC37B5" w:rsidRPr="00FA18B8" w:rsidRDefault="00AC37B5" w:rsidP="004245A2">
      <w:pPr>
        <w:spacing w:after="0" w:line="240" w:lineRule="auto"/>
        <w:jc w:val="both"/>
        <w:rPr>
          <w:rFonts w:ascii="Calibri" w:hAnsi="Calibri"/>
        </w:rPr>
      </w:pPr>
      <w:r w:rsidRPr="00FA18B8">
        <w:rPr>
          <w:rFonts w:ascii="Calibri" w:hAnsi="Calibri"/>
        </w:rPr>
        <w:t xml:space="preserve"> </w:t>
      </w:r>
    </w:p>
    <w:p w:rsidR="005C1674" w:rsidRDefault="005C1674" w:rsidP="004245A2">
      <w:pPr>
        <w:spacing w:after="0" w:line="240" w:lineRule="auto"/>
        <w:jc w:val="both"/>
        <w:rPr>
          <w:rFonts w:ascii="Calibri" w:hAnsi="Calibri"/>
        </w:rPr>
      </w:pPr>
      <w:r w:rsidRPr="005C1674">
        <w:rPr>
          <w:rFonts w:ascii="Calibri" w:hAnsi="Calibri"/>
          <w:i/>
        </w:rPr>
        <w:t>After an extended period of crisis and decline, UCATT now seems to be back on track</w:t>
      </w:r>
      <w:r>
        <w:rPr>
          <w:rFonts w:ascii="Calibri" w:hAnsi="Calibri"/>
        </w:rPr>
        <w:t xml:space="preserve">. The combined outcomes of low density and falling membership along with internal governance problems may have come to an end as UCATT stems the tide of decline and has begun to move outwards and grow again. </w:t>
      </w:r>
    </w:p>
    <w:p w:rsidR="005C1674" w:rsidRDefault="005C1674" w:rsidP="004245A2">
      <w:pPr>
        <w:spacing w:after="0" w:line="240" w:lineRule="auto"/>
        <w:jc w:val="both"/>
        <w:rPr>
          <w:rFonts w:ascii="Calibri" w:hAnsi="Calibri"/>
        </w:rPr>
      </w:pPr>
    </w:p>
    <w:p w:rsidR="00FD062A" w:rsidRDefault="00FD062A" w:rsidP="004245A2">
      <w:pPr>
        <w:spacing w:after="0" w:line="240" w:lineRule="auto"/>
        <w:jc w:val="both"/>
        <w:rPr>
          <w:rFonts w:ascii="Calibri" w:hAnsi="Calibri"/>
        </w:rPr>
      </w:pPr>
      <w:r>
        <w:rPr>
          <w:rFonts w:ascii="Calibri" w:hAnsi="Calibri"/>
        </w:rPr>
        <w:t xml:space="preserve">Summarising the position of the other unions, the UCU has seen a slight rise then fall while ATL has grown overall (like the other teaching unions but not to the same extent). Prospect has grown overall (helped by merger) while the RMT has maintained its growth in numbers overall. Community’s drop in membership is so substantial that it would appear to be the result of more than just loss of membership </w:t>
      </w:r>
      <w:r w:rsidR="00E708E9">
        <w:rPr>
          <w:rFonts w:ascii="Calibri" w:hAnsi="Calibri"/>
        </w:rPr>
        <w:t xml:space="preserve">from </w:t>
      </w:r>
      <w:r w:rsidR="007A55F6">
        <w:rPr>
          <w:rFonts w:ascii="Calibri" w:hAnsi="Calibri"/>
        </w:rPr>
        <w:t xml:space="preserve">employment </w:t>
      </w:r>
      <w:r w:rsidR="00E708E9">
        <w:rPr>
          <w:rFonts w:ascii="Calibri" w:hAnsi="Calibri"/>
        </w:rPr>
        <w:t xml:space="preserve">contraction in manufacturing. It would appear to be that and </w:t>
      </w:r>
      <w:r w:rsidR="007A55F6">
        <w:rPr>
          <w:rFonts w:ascii="Calibri" w:hAnsi="Calibri"/>
        </w:rPr>
        <w:t xml:space="preserve">the result of </w:t>
      </w:r>
      <w:r w:rsidR="00E708E9">
        <w:rPr>
          <w:rFonts w:ascii="Calibri" w:hAnsi="Calibri"/>
        </w:rPr>
        <w:t>a modernisation of membership records. The membership of Scottish teaching union, the EIS, has fallen slightly – probably reflection contraction in its college membership and incursions from other teaching unions – while both the FBU and POA have experienced small if continual contractions. Meanwhile, Equity and the CSP have grown slightly.</w:t>
      </w:r>
    </w:p>
    <w:p w:rsidR="005C1674" w:rsidRDefault="005C1674" w:rsidP="004245A2">
      <w:pPr>
        <w:spacing w:after="0" w:line="240" w:lineRule="auto"/>
        <w:jc w:val="both"/>
        <w:rPr>
          <w:rFonts w:ascii="Calibri" w:hAnsi="Calibri"/>
        </w:rPr>
      </w:pPr>
    </w:p>
    <w:p w:rsidR="004237EA" w:rsidRDefault="004237EA" w:rsidP="004245A2">
      <w:pPr>
        <w:spacing w:after="0" w:line="240" w:lineRule="auto"/>
        <w:jc w:val="both"/>
      </w:pPr>
      <w:r>
        <w:t xml:space="preserve">Looking at the position of the unions overall, </w:t>
      </w:r>
      <w:r w:rsidR="00304D41">
        <w:t>a number of factors</w:t>
      </w:r>
      <w:r w:rsidR="008C3E39">
        <w:t xml:space="preserve"> are relevant to </w:t>
      </w:r>
      <w:r w:rsidR="007A55F6">
        <w:t xml:space="preserve">trying to </w:t>
      </w:r>
      <w:r w:rsidR="008C3E39">
        <w:t>mak</w:t>
      </w:r>
      <w:r w:rsidR="007A55F6">
        <w:t>e</w:t>
      </w:r>
      <w:r w:rsidR="008C3E39">
        <w:t xml:space="preserve"> sense of </w:t>
      </w:r>
      <w:r w:rsidR="007A55F6">
        <w:t>why</w:t>
      </w:r>
      <w:r w:rsidR="008C3E39">
        <w:t xml:space="preserve"> some unions have declined, some grown and some stayed the same. First, there is the contraction of employment numbers in manufacturing and the public services. Second, there is union organising, and third there are parts of the economy in the private services sector which are growing in employment numbers. These three factors are necessary but not </w:t>
      </w:r>
      <w:r w:rsidR="00857870">
        <w:t xml:space="preserve">in themselves </w:t>
      </w:r>
      <w:r w:rsidR="008C3E39">
        <w:t>wholly sufficient to</w:t>
      </w:r>
      <w:r w:rsidR="00E62A68">
        <w:t xml:space="preserve"> explain why unions like Unite, the CWU</w:t>
      </w:r>
      <w:r w:rsidR="00857870">
        <w:t>, Community</w:t>
      </w:r>
      <w:r w:rsidR="00E62A68">
        <w:t xml:space="preserve"> and PCS have experienced membership contractions while others like the GMB, USDAW and the teaching unions have experienced membership growth</w:t>
      </w:r>
      <w:r w:rsidR="00857870">
        <w:t xml:space="preserve"> and the likes of Unison stayed roughly the same</w:t>
      </w:r>
      <w:r w:rsidR="00E62A68">
        <w:t xml:space="preserve">. Indeed, it is the inter-play of the </w:t>
      </w:r>
      <w:r w:rsidR="00857870">
        <w:t xml:space="preserve">three factors </w:t>
      </w:r>
      <w:r w:rsidR="00857870" w:rsidRPr="00857870">
        <w:rPr>
          <w:i/>
        </w:rPr>
        <w:t>together with differences in them</w:t>
      </w:r>
      <w:r w:rsidR="00857870">
        <w:t xml:space="preserve"> </w:t>
      </w:r>
      <w:r w:rsidR="00E62A68">
        <w:t xml:space="preserve">along with the attitude of </w:t>
      </w:r>
      <w:r w:rsidR="00857870">
        <w:t xml:space="preserve">employers that offers the most credible explanation. Thus, all unions have practiced union organising although the nature and extent of this varies. Moreover, where it is practiced also has a bearing on its </w:t>
      </w:r>
      <w:r w:rsidR="00712668">
        <w:t xml:space="preserve">the success of its </w:t>
      </w:r>
      <w:r w:rsidR="00857870">
        <w:t xml:space="preserve">outcomes, with  </w:t>
      </w:r>
      <w:r w:rsidR="00712668">
        <w:t xml:space="preserve">not only employer attitudes making a difference but also whether the sites targeted are </w:t>
      </w:r>
      <w:r w:rsidR="007A55F6">
        <w:t xml:space="preserve">the harder </w:t>
      </w:r>
      <w:r w:rsidR="00712668">
        <w:t xml:space="preserve">greenfield ‘virgin’ targets or </w:t>
      </w:r>
      <w:r w:rsidR="007A55F6">
        <w:t xml:space="preserve">the easier </w:t>
      </w:r>
      <w:r w:rsidR="00712668">
        <w:t xml:space="preserve">brownfield in-fill targets. </w:t>
      </w:r>
      <w:r w:rsidR="00857870">
        <w:t xml:space="preserve">All public sector unions have experienced the impact of austerity but it has not been of </w:t>
      </w:r>
      <w:r w:rsidR="007A55F6">
        <w:t>the</w:t>
      </w:r>
      <w:r w:rsidR="00857870">
        <w:t xml:space="preserve"> universal nature as some parts of the public services have broadly maintained their employment numbers while others have not.</w:t>
      </w:r>
      <w:r w:rsidR="008C3E39">
        <w:t xml:space="preserve"> </w:t>
      </w:r>
      <w:r w:rsidR="00857870">
        <w:t>Even in manufacturing, while still declining in employment numbers overall, there has been growth in some areas</w:t>
      </w:r>
      <w:r w:rsidR="00712668">
        <w:t xml:space="preserve">. </w:t>
      </w:r>
      <w:r w:rsidR="00A950BB">
        <w:t>Those unions that organise in the private services sector have had the benefit of expanding or stable overall employment numbers but have had to deal with more hostile employers and a continual degree of churn where a) employer organisations are born and then die</w:t>
      </w:r>
      <w:r w:rsidR="007A55F6">
        <w:t xml:space="preserve"> in a continual cycle</w:t>
      </w:r>
      <w:r w:rsidR="00A950BB">
        <w:t>; and b) the transfer of contracts from one contractor to another is a co</w:t>
      </w:r>
      <w:r w:rsidR="007A55F6">
        <w:t>mmon and co</w:t>
      </w:r>
      <w:r w:rsidR="00A950BB">
        <w:t xml:space="preserve">ntinual occurrence. </w:t>
      </w:r>
      <w:r w:rsidR="008C3E39">
        <w:t xml:space="preserve"> </w:t>
      </w:r>
    </w:p>
    <w:p w:rsidR="008C3E39" w:rsidRDefault="008C3E39" w:rsidP="004245A2">
      <w:pPr>
        <w:spacing w:after="0" w:line="240" w:lineRule="auto"/>
        <w:jc w:val="both"/>
      </w:pPr>
    </w:p>
    <w:p w:rsidR="00AC37B5" w:rsidRDefault="008C3E39" w:rsidP="004245A2">
      <w:pPr>
        <w:spacing w:after="0" w:line="240" w:lineRule="auto"/>
        <w:jc w:val="both"/>
        <w:rPr>
          <w:rFonts w:ascii="Calibri" w:hAnsi="Calibri"/>
        </w:rPr>
      </w:pPr>
      <w:r>
        <w:t xml:space="preserve">However, while overall membership has declined as has that of many unions (including many of the largest ones), it is </w:t>
      </w:r>
      <w:r w:rsidR="006C6A21">
        <w:t xml:space="preserve">still </w:t>
      </w:r>
      <w:r>
        <w:t xml:space="preserve">right to pose the counter-factual question, </w:t>
      </w:r>
      <w:r w:rsidR="00136994">
        <w:t xml:space="preserve">namely, </w:t>
      </w:r>
      <w:r w:rsidRPr="00136994">
        <w:rPr>
          <w:i/>
        </w:rPr>
        <w:t>what would have been the situation if the unions had not practiced and invested in union organising?</w:t>
      </w:r>
      <w:r w:rsidR="006C6A21">
        <w:t xml:space="preserve"> The situation would no doubt be much worse than if unions had simply merged with each other to keep up individual union numbers. With a low level of industrial and political class struggle compared to the era of the 1970s, it is hard to see that the investment in and practice of union organising has got</w:t>
      </w:r>
      <w:r w:rsidR="00136994">
        <w:t>ten</w:t>
      </w:r>
      <w:r w:rsidR="006C6A21">
        <w:t xml:space="preserve"> in the way of something bigger and better. </w:t>
      </w:r>
      <w:r w:rsidR="00DB550B">
        <w:t>In the new areas of membership that unions have targeted, they have not in the main sought to offer employers no-strike ‘sweetheart’ deals as a way to expand into non-unionised areas. In other words, union members have not been shackled here</w:t>
      </w:r>
      <w:r w:rsidR="00136994">
        <w:t xml:space="preserve"> and offered a comprised form of representation</w:t>
      </w:r>
      <w:r w:rsidR="00DB550B">
        <w:t>. That said, the performance of the union movement overall in the public sector (defending pay, pensions and jobs) and in the private sector (defending pay and jobs) has not been the best recruiting sergeant to unionisation that it might have been.</w:t>
      </w:r>
      <w:r w:rsidR="00136994">
        <w:t xml:space="preserve"> Nor has it been the best model of how to operate as a union movement.</w:t>
      </w:r>
      <w:r w:rsidR="00DB550B">
        <w:t xml:space="preserve"> </w:t>
      </w:r>
      <w:r w:rsidR="00AC37B5">
        <w:rPr>
          <w:rFonts w:ascii="Calibri" w:hAnsi="Calibri"/>
        </w:rPr>
        <w:t xml:space="preserve"> </w:t>
      </w:r>
    </w:p>
    <w:p w:rsidR="004237EA" w:rsidRDefault="004237EA" w:rsidP="004245A2">
      <w:pPr>
        <w:spacing w:after="0" w:line="240" w:lineRule="auto"/>
        <w:jc w:val="both"/>
        <w:rPr>
          <w:rFonts w:ascii="Calibri" w:hAnsi="Calibri"/>
          <w:b/>
        </w:rPr>
      </w:pPr>
    </w:p>
    <w:p w:rsidR="00AC37B5" w:rsidRPr="00FA18B8" w:rsidRDefault="00AC37B5" w:rsidP="004245A2">
      <w:pPr>
        <w:spacing w:after="0" w:line="240" w:lineRule="auto"/>
        <w:jc w:val="both"/>
        <w:rPr>
          <w:rFonts w:ascii="Calibri" w:hAnsi="Calibri"/>
          <w:b/>
        </w:rPr>
      </w:pPr>
      <w:r w:rsidRPr="00FA18B8">
        <w:rPr>
          <w:rFonts w:ascii="Calibri" w:hAnsi="Calibri"/>
          <w:b/>
        </w:rPr>
        <w:t xml:space="preserve">Segmentation: by </w:t>
      </w:r>
      <w:r w:rsidR="000C0A1D">
        <w:rPr>
          <w:rFonts w:ascii="Calibri" w:hAnsi="Calibri"/>
          <w:b/>
        </w:rPr>
        <w:t xml:space="preserve">gender, </w:t>
      </w:r>
      <w:r w:rsidR="00DB550B">
        <w:rPr>
          <w:rFonts w:ascii="Calibri" w:hAnsi="Calibri"/>
          <w:b/>
        </w:rPr>
        <w:t xml:space="preserve">age, </w:t>
      </w:r>
      <w:r w:rsidRPr="00FA18B8">
        <w:rPr>
          <w:rFonts w:ascii="Calibri" w:hAnsi="Calibri"/>
          <w:b/>
        </w:rPr>
        <w:t>region, industry and occupation</w:t>
      </w:r>
    </w:p>
    <w:p w:rsidR="00AC37B5" w:rsidRPr="00FA18B8" w:rsidRDefault="00AC37B5" w:rsidP="004245A2">
      <w:pPr>
        <w:spacing w:after="0" w:line="240" w:lineRule="auto"/>
        <w:jc w:val="both"/>
        <w:rPr>
          <w:rFonts w:ascii="Calibri" w:hAnsi="Calibri"/>
          <w:b/>
        </w:rPr>
      </w:pPr>
    </w:p>
    <w:p w:rsidR="002C676C" w:rsidRDefault="00DB550B" w:rsidP="004245A2">
      <w:pPr>
        <w:spacing w:after="0" w:line="240" w:lineRule="auto"/>
        <w:jc w:val="both"/>
        <w:rPr>
          <w:rFonts w:ascii="Calibri" w:hAnsi="Calibri"/>
        </w:rPr>
      </w:pPr>
      <w:r>
        <w:rPr>
          <w:rFonts w:ascii="Calibri" w:hAnsi="Calibri"/>
        </w:rPr>
        <w:t xml:space="preserve">Since 2006, in absolute terms more women have been union members </w:t>
      </w:r>
      <w:r w:rsidR="00136994">
        <w:rPr>
          <w:rFonts w:ascii="Calibri" w:hAnsi="Calibri"/>
        </w:rPr>
        <w:t xml:space="preserve">every year </w:t>
      </w:r>
      <w:r>
        <w:rPr>
          <w:rFonts w:ascii="Calibri" w:hAnsi="Calibri"/>
        </w:rPr>
        <w:t xml:space="preserve">than men and since the early 2000s union density has been higher </w:t>
      </w:r>
      <w:r w:rsidR="00136994">
        <w:rPr>
          <w:rFonts w:ascii="Calibri" w:hAnsi="Calibri"/>
        </w:rPr>
        <w:t xml:space="preserve">every year </w:t>
      </w:r>
      <w:r>
        <w:rPr>
          <w:rFonts w:ascii="Calibri" w:hAnsi="Calibri"/>
        </w:rPr>
        <w:t>amongst women than men. Union density amongst younger wo</w:t>
      </w:r>
      <w:r w:rsidR="002C676C">
        <w:rPr>
          <w:rFonts w:ascii="Calibri" w:hAnsi="Calibri"/>
        </w:rPr>
        <w:t xml:space="preserve">rkers has continued to fall while density amongst the very oldest workers (55 years +) has either stabilised or even grown since 2004. </w:t>
      </w:r>
      <w:r w:rsidR="00AC37B5" w:rsidRPr="00FA18B8">
        <w:rPr>
          <w:rFonts w:ascii="Calibri" w:hAnsi="Calibri"/>
        </w:rPr>
        <w:t>Regionally speaking</w:t>
      </w:r>
      <w:r w:rsidR="00AC37B5">
        <w:rPr>
          <w:rFonts w:ascii="Calibri" w:hAnsi="Calibri"/>
        </w:rPr>
        <w:t xml:space="preserve"> or by nation</w:t>
      </w:r>
      <w:r w:rsidR="00AC37B5" w:rsidRPr="00FA18B8">
        <w:rPr>
          <w:rFonts w:ascii="Calibri" w:hAnsi="Calibri"/>
        </w:rPr>
        <w:t xml:space="preserve">, union densities are still considerably higher in Scotland, Wales and Northern Ireland than in England </w:t>
      </w:r>
      <w:r w:rsidR="00AC37B5">
        <w:rPr>
          <w:rFonts w:ascii="Calibri" w:hAnsi="Calibri"/>
        </w:rPr>
        <w:t>des</w:t>
      </w:r>
      <w:r w:rsidR="002C676C">
        <w:rPr>
          <w:rFonts w:ascii="Calibri" w:hAnsi="Calibri"/>
        </w:rPr>
        <w:t>pite continuing decline in each</w:t>
      </w:r>
      <w:r w:rsidR="00AC37B5" w:rsidRPr="00FA18B8">
        <w:rPr>
          <w:rFonts w:ascii="Calibri" w:hAnsi="Calibri"/>
        </w:rPr>
        <w:t xml:space="preserve">. </w:t>
      </w:r>
      <w:r w:rsidR="00AC37B5">
        <w:rPr>
          <w:rFonts w:ascii="Calibri" w:hAnsi="Calibri"/>
        </w:rPr>
        <w:t xml:space="preserve">Within this, density has fallen less quickly in England and most quickly in Wales. </w:t>
      </w:r>
      <w:r w:rsidR="00AC37B5" w:rsidRPr="00FA18B8">
        <w:rPr>
          <w:rFonts w:ascii="Calibri" w:hAnsi="Calibri"/>
        </w:rPr>
        <w:t xml:space="preserve">But even </w:t>
      </w:r>
      <w:r w:rsidR="00AC37B5">
        <w:rPr>
          <w:rFonts w:ascii="Calibri" w:hAnsi="Calibri"/>
        </w:rPr>
        <w:t>with</w:t>
      </w:r>
      <w:r w:rsidR="00AC37B5" w:rsidRPr="00FA18B8">
        <w:rPr>
          <w:rFonts w:ascii="Calibri" w:hAnsi="Calibri"/>
        </w:rPr>
        <w:t>in England, densities are still higher in the north of England than the in sout</w:t>
      </w:r>
      <w:r w:rsidR="002C676C">
        <w:rPr>
          <w:rFonts w:ascii="Calibri" w:hAnsi="Calibri"/>
        </w:rPr>
        <w:t>h and the Midlands</w:t>
      </w:r>
      <w:r w:rsidR="00AC37B5" w:rsidRPr="00FA18B8">
        <w:rPr>
          <w:rFonts w:ascii="Calibri" w:hAnsi="Calibri"/>
        </w:rPr>
        <w:t>.</w:t>
      </w:r>
      <w:r w:rsidR="00AC37B5">
        <w:rPr>
          <w:rFonts w:ascii="Calibri" w:hAnsi="Calibri"/>
        </w:rPr>
        <w:t xml:space="preserve"> Density in the south of England </w:t>
      </w:r>
      <w:r w:rsidR="002C676C">
        <w:rPr>
          <w:rFonts w:ascii="Calibri" w:hAnsi="Calibri"/>
        </w:rPr>
        <w:t xml:space="preserve">(south east, south west, London, east) </w:t>
      </w:r>
      <w:r w:rsidR="00AC37B5">
        <w:rPr>
          <w:rFonts w:ascii="Calibri" w:hAnsi="Calibri"/>
        </w:rPr>
        <w:t>is below the national British average.</w:t>
      </w:r>
      <w:r w:rsidR="00AC37B5" w:rsidRPr="00FA18B8">
        <w:rPr>
          <w:rFonts w:ascii="Calibri" w:hAnsi="Calibri"/>
        </w:rPr>
        <w:t xml:space="preserve"> </w:t>
      </w:r>
      <w:r w:rsidR="002C676C">
        <w:rPr>
          <w:rFonts w:ascii="Calibri" w:hAnsi="Calibri"/>
        </w:rPr>
        <w:t>In terms of occupations, professional and technical work remains well unionised (at around 40%) while manual and sales work continue to experience decline. By sector, many parts of the public sector remain well unionised as do the former utilities and transport and communications.</w:t>
      </w:r>
    </w:p>
    <w:p w:rsidR="002C676C" w:rsidRDefault="002C676C" w:rsidP="004245A2">
      <w:pPr>
        <w:spacing w:after="0" w:line="240" w:lineRule="auto"/>
        <w:jc w:val="both"/>
        <w:rPr>
          <w:rFonts w:ascii="Calibri" w:hAnsi="Calibri"/>
          <w:b/>
        </w:rPr>
      </w:pPr>
    </w:p>
    <w:p w:rsidR="00AC37B5" w:rsidRPr="00FA18B8" w:rsidRDefault="00AC37B5" w:rsidP="004245A2">
      <w:pPr>
        <w:spacing w:after="0" w:line="240" w:lineRule="auto"/>
        <w:jc w:val="both"/>
        <w:rPr>
          <w:rFonts w:ascii="Calibri" w:hAnsi="Calibri"/>
          <w:b/>
        </w:rPr>
      </w:pPr>
      <w:r w:rsidRPr="00FA18B8">
        <w:rPr>
          <w:rFonts w:ascii="Calibri" w:hAnsi="Calibri"/>
          <w:b/>
        </w:rPr>
        <w:t>Union Recognition</w:t>
      </w:r>
    </w:p>
    <w:p w:rsidR="00AC37B5" w:rsidRPr="00FA18B8" w:rsidRDefault="00AC37B5" w:rsidP="004245A2">
      <w:pPr>
        <w:spacing w:after="0" w:line="240" w:lineRule="auto"/>
        <w:jc w:val="both"/>
        <w:rPr>
          <w:rFonts w:ascii="Calibri" w:hAnsi="Calibri"/>
          <w:b/>
        </w:rPr>
      </w:pPr>
    </w:p>
    <w:p w:rsidR="00AC37B5" w:rsidRDefault="00AC37B5" w:rsidP="004245A2">
      <w:pPr>
        <w:pStyle w:val="BodyText"/>
        <w:jc w:val="both"/>
        <w:rPr>
          <w:rFonts w:ascii="Calibri" w:hAnsi="Calibri"/>
          <w:sz w:val="22"/>
          <w:szCs w:val="22"/>
        </w:rPr>
      </w:pPr>
      <w:r w:rsidRPr="00FA18B8">
        <w:rPr>
          <w:rFonts w:ascii="Calibri" w:hAnsi="Calibri"/>
          <w:sz w:val="22"/>
          <w:szCs w:val="22"/>
        </w:rPr>
        <w:t>The ‘glory days’ of the relative easy winning of large numbers of new agreements which also covered large number of (new) workers is over. Indeed, the fortunes of the union movement on this front have returned to pre-1999 days (</w:t>
      </w:r>
      <w:r w:rsidR="00463C32">
        <w:rPr>
          <w:rFonts w:ascii="Calibri" w:hAnsi="Calibri"/>
          <w:sz w:val="22"/>
          <w:szCs w:val="22"/>
        </w:rPr>
        <w:t>given the statutory means of gaining union recognition went live in 2000)</w:t>
      </w:r>
      <w:r w:rsidRPr="00FA18B8">
        <w:rPr>
          <w:rFonts w:ascii="Calibri" w:hAnsi="Calibri"/>
          <w:sz w:val="22"/>
          <w:szCs w:val="22"/>
        </w:rPr>
        <w:t xml:space="preserve">. To the extent that unions are still winning new union recognition agreements, one could go as far as saying that it is almost as if Schedule 1 of the </w:t>
      </w:r>
      <w:r w:rsidRPr="00FA18B8">
        <w:rPr>
          <w:rFonts w:ascii="Calibri" w:hAnsi="Calibri"/>
          <w:i/>
          <w:sz w:val="22"/>
          <w:szCs w:val="22"/>
        </w:rPr>
        <w:t>Employment Relations Act 1999</w:t>
      </w:r>
      <w:r w:rsidRPr="00FA18B8">
        <w:rPr>
          <w:rFonts w:ascii="Calibri" w:hAnsi="Calibri"/>
          <w:sz w:val="22"/>
          <w:szCs w:val="22"/>
        </w:rPr>
        <w:t xml:space="preserve"> does not now exist, for such are the low numbers of new agreements being signed per annum. Of course, the </w:t>
      </w:r>
      <w:r>
        <w:rPr>
          <w:rFonts w:ascii="Calibri" w:hAnsi="Calibri"/>
          <w:sz w:val="22"/>
          <w:szCs w:val="22"/>
        </w:rPr>
        <w:t xml:space="preserve">obvious </w:t>
      </w:r>
      <w:r w:rsidRPr="00FA18B8">
        <w:rPr>
          <w:rFonts w:ascii="Calibri" w:hAnsi="Calibri"/>
          <w:sz w:val="22"/>
          <w:szCs w:val="22"/>
        </w:rPr>
        <w:t xml:space="preserve">riposte to this is that maybe that hardly any new union recognition agreements would be being gained at all at the moment without the presence of Schedule 1 of the </w:t>
      </w:r>
      <w:r w:rsidRPr="00FA18B8">
        <w:rPr>
          <w:rFonts w:ascii="Calibri" w:hAnsi="Calibri"/>
          <w:i/>
          <w:sz w:val="22"/>
          <w:szCs w:val="22"/>
        </w:rPr>
        <w:t>Employment Relations Act 1999</w:t>
      </w:r>
      <w:r w:rsidRPr="00FA18B8">
        <w:rPr>
          <w:rFonts w:ascii="Calibri" w:hAnsi="Calibri"/>
          <w:sz w:val="22"/>
          <w:szCs w:val="22"/>
        </w:rPr>
        <w:t xml:space="preserve"> and the use of the this law through the Central Arbitration Committee (CAC). </w:t>
      </w:r>
      <w:r>
        <w:rPr>
          <w:rFonts w:ascii="Calibri" w:hAnsi="Calibri"/>
          <w:sz w:val="22"/>
          <w:szCs w:val="22"/>
        </w:rPr>
        <w:t xml:space="preserve">This is especially so as the percentage of agreements dependent upon using the CAC has grown as the number of new agreements being signed has fallen. </w:t>
      </w:r>
      <w:r w:rsidRPr="00FA18B8">
        <w:rPr>
          <w:rFonts w:ascii="Calibri" w:hAnsi="Calibri"/>
          <w:sz w:val="22"/>
          <w:szCs w:val="22"/>
        </w:rPr>
        <w:t xml:space="preserve">But this is small comfort. </w:t>
      </w:r>
    </w:p>
    <w:p w:rsidR="00AC37B5" w:rsidRPr="00FA18B8" w:rsidRDefault="00AC37B5" w:rsidP="004245A2">
      <w:pPr>
        <w:spacing w:after="0" w:line="240" w:lineRule="auto"/>
        <w:jc w:val="both"/>
        <w:rPr>
          <w:rFonts w:ascii="Calibri" w:hAnsi="Calibri"/>
          <w:b/>
        </w:rPr>
      </w:pPr>
    </w:p>
    <w:p w:rsidR="00AC37B5" w:rsidRDefault="00AC37B5" w:rsidP="004245A2">
      <w:pPr>
        <w:pStyle w:val="BodyText2"/>
        <w:jc w:val="both"/>
        <w:rPr>
          <w:rFonts w:ascii="Calibri" w:hAnsi="Calibri"/>
          <w:sz w:val="22"/>
          <w:szCs w:val="22"/>
        </w:rPr>
      </w:pPr>
      <w:r w:rsidRPr="00FA18B8">
        <w:rPr>
          <w:rFonts w:ascii="Calibri" w:hAnsi="Calibri"/>
          <w:sz w:val="22"/>
          <w:szCs w:val="22"/>
        </w:rPr>
        <w:t xml:space="preserve">Table </w:t>
      </w:r>
      <w:r w:rsidR="00463C32">
        <w:rPr>
          <w:rFonts w:ascii="Calibri" w:hAnsi="Calibri"/>
          <w:sz w:val="22"/>
          <w:szCs w:val="22"/>
        </w:rPr>
        <w:t>2</w:t>
      </w:r>
      <w:r w:rsidRPr="00FA18B8">
        <w:rPr>
          <w:rFonts w:ascii="Calibri" w:hAnsi="Calibri"/>
          <w:sz w:val="22"/>
          <w:szCs w:val="22"/>
        </w:rPr>
        <w:t xml:space="preserve">: New Union Recognition Agreements, </w:t>
      </w:r>
      <w:r w:rsidR="00463C32">
        <w:rPr>
          <w:rFonts w:ascii="Calibri" w:hAnsi="Calibri"/>
          <w:sz w:val="22"/>
          <w:szCs w:val="22"/>
        </w:rPr>
        <w:t>1995</w:t>
      </w:r>
      <w:r w:rsidRPr="00FA18B8">
        <w:rPr>
          <w:rFonts w:ascii="Calibri" w:hAnsi="Calibri"/>
          <w:sz w:val="22"/>
          <w:szCs w:val="22"/>
        </w:rPr>
        <w:t>-201</w:t>
      </w:r>
      <w:r w:rsidR="004237EA">
        <w:rPr>
          <w:rFonts w:ascii="Calibri" w:hAnsi="Calibri"/>
          <w:sz w:val="22"/>
          <w:szCs w:val="22"/>
        </w:rPr>
        <w:t>4</w:t>
      </w:r>
    </w:p>
    <w:p w:rsidR="00463C32" w:rsidRDefault="00463C32" w:rsidP="004245A2">
      <w:pPr>
        <w:spacing w:after="0" w:line="240" w:lineRule="auto"/>
        <w:jc w:val="both"/>
      </w:pPr>
    </w:p>
    <w:tbl>
      <w:tblPr>
        <w:tblW w:w="8804" w:type="dxa"/>
        <w:tblInd w:w="93" w:type="dxa"/>
        <w:tblLook w:val="04A0" w:firstRow="1" w:lastRow="0" w:firstColumn="1" w:lastColumn="0" w:noHBand="0" w:noVBand="1"/>
      </w:tblPr>
      <w:tblGrid>
        <w:gridCol w:w="1692"/>
        <w:gridCol w:w="1725"/>
        <w:gridCol w:w="1843"/>
        <w:gridCol w:w="3544"/>
      </w:tblGrid>
      <w:tr w:rsidR="00463C32" w:rsidRPr="00463C32" w:rsidTr="00463C32">
        <w:trPr>
          <w:trHeight w:val="300"/>
        </w:trPr>
        <w:tc>
          <w:tcPr>
            <w:tcW w:w="16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Year</w:t>
            </w:r>
          </w:p>
        </w:tc>
        <w:tc>
          <w:tcPr>
            <w:tcW w:w="1725" w:type="dxa"/>
            <w:tcBorders>
              <w:top w:val="single" w:sz="4" w:space="0" w:color="auto"/>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New recognition agreements</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t>Known numbers  of workers covered</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pPr>
            <w:r w:rsidRPr="00463C32">
              <w:t>Deals where CAC used directly or indirectly to gain union recognition (as % of all new agreements)</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1995</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88</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27,404</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 </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1996</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86</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26,377</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 </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1997</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109</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24,509</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 </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1998</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134</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39,820</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 </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1999</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367</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130,446</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 </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2000</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554</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157,586</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2001</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704</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122,439</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6%</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2002</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396</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201,344</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14%</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2003</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266</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78,227</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2004</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244</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39,793</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19%</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2005</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162</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28,260</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23%</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2006</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163</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31,103</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23%</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2007</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156</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9,167</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26%</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2008</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144</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8,226</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21%</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2009</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87</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15,400</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25%</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2010</w:t>
            </w:r>
          </w:p>
        </w:tc>
        <w:tc>
          <w:tcPr>
            <w:tcW w:w="1725"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92</w:t>
            </w:r>
          </w:p>
        </w:tc>
        <w:tc>
          <w:tcPr>
            <w:tcW w:w="1843"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13,411</w:t>
            </w:r>
          </w:p>
        </w:tc>
        <w:tc>
          <w:tcPr>
            <w:tcW w:w="3544" w:type="dxa"/>
            <w:tcBorders>
              <w:top w:val="nil"/>
              <w:left w:val="nil"/>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40%</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2011</w:t>
            </w:r>
          </w:p>
        </w:tc>
        <w:tc>
          <w:tcPr>
            <w:tcW w:w="1725"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76</w:t>
            </w:r>
          </w:p>
        </w:tc>
        <w:tc>
          <w:tcPr>
            <w:tcW w:w="1843"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47,876</w:t>
            </w:r>
          </w:p>
        </w:tc>
        <w:tc>
          <w:tcPr>
            <w:tcW w:w="3544"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17%</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2012</w:t>
            </w:r>
          </w:p>
        </w:tc>
        <w:tc>
          <w:tcPr>
            <w:tcW w:w="1725"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108</w:t>
            </w:r>
          </w:p>
        </w:tc>
        <w:tc>
          <w:tcPr>
            <w:tcW w:w="1843"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26,047</w:t>
            </w:r>
          </w:p>
        </w:tc>
        <w:tc>
          <w:tcPr>
            <w:tcW w:w="3544"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14%</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2013</w:t>
            </w:r>
          </w:p>
        </w:tc>
        <w:tc>
          <w:tcPr>
            <w:tcW w:w="1725"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87</w:t>
            </w:r>
          </w:p>
        </w:tc>
        <w:tc>
          <w:tcPr>
            <w:tcW w:w="1843"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37,730</w:t>
            </w:r>
          </w:p>
        </w:tc>
        <w:tc>
          <w:tcPr>
            <w:tcW w:w="3544"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24%</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2014</w:t>
            </w:r>
          </w:p>
        </w:tc>
        <w:tc>
          <w:tcPr>
            <w:tcW w:w="1725"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80</w:t>
            </w:r>
          </w:p>
        </w:tc>
        <w:tc>
          <w:tcPr>
            <w:tcW w:w="1843"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4,278</w:t>
            </w:r>
          </w:p>
        </w:tc>
        <w:tc>
          <w:tcPr>
            <w:tcW w:w="3544"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15%</w:t>
            </w:r>
          </w:p>
        </w:tc>
      </w:tr>
      <w:tr w:rsidR="00463C32" w:rsidRPr="00463C32" w:rsidTr="00463C32">
        <w:trPr>
          <w:trHeight w:val="300"/>
        </w:trPr>
        <w:tc>
          <w:tcPr>
            <w:tcW w:w="1692" w:type="dxa"/>
            <w:tcBorders>
              <w:top w:val="nil"/>
              <w:left w:val="single" w:sz="4" w:space="0" w:color="auto"/>
              <w:bottom w:val="single" w:sz="4" w:space="0" w:color="auto"/>
              <w:right w:val="single" w:sz="4" w:space="0" w:color="auto"/>
            </w:tcBorders>
            <w:shd w:val="clear" w:color="auto" w:fill="auto"/>
            <w:noWrap/>
            <w:vAlign w:val="bottom"/>
            <w:hideMark/>
          </w:tcPr>
          <w:p w:rsidR="00463C32" w:rsidRPr="00463C32" w:rsidRDefault="00463C32" w:rsidP="004245A2">
            <w:pPr>
              <w:spacing w:after="0" w:line="240" w:lineRule="auto"/>
              <w:jc w:val="both"/>
              <w:rPr>
                <w:rFonts w:eastAsia="Times New Roman"/>
                <w:color w:val="000000"/>
                <w:lang w:eastAsia="en-GB"/>
              </w:rPr>
            </w:pPr>
            <w:r w:rsidRPr="00463C32">
              <w:rPr>
                <w:rFonts w:eastAsia="Times New Roman"/>
                <w:color w:val="000000"/>
                <w:lang w:eastAsia="en-GB"/>
              </w:rPr>
              <w:t>Total/averages</w:t>
            </w:r>
          </w:p>
        </w:tc>
        <w:tc>
          <w:tcPr>
            <w:tcW w:w="1725"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eastAsia="Times New Roman"/>
                <w:color w:val="000000"/>
                <w:lang w:eastAsia="en-GB"/>
              </w:rPr>
            </w:pPr>
            <w:r w:rsidRPr="00463C32">
              <w:rPr>
                <w:rFonts w:ascii="Calibri" w:eastAsia="Times New Roman" w:hAnsi="Calibri" w:cs="Times New Roman"/>
                <w:color w:val="000000"/>
                <w:lang w:eastAsia="en-GB"/>
              </w:rPr>
              <w:t>4</w:t>
            </w:r>
            <w:r>
              <w:rPr>
                <w:rFonts w:ascii="Calibri" w:eastAsia="Times New Roman" w:hAnsi="Calibri" w:cs="Times New Roman"/>
                <w:color w:val="000000"/>
                <w:lang w:eastAsia="en-GB"/>
              </w:rPr>
              <w:t>,</w:t>
            </w:r>
            <w:r w:rsidRPr="00463C32">
              <w:rPr>
                <w:rFonts w:ascii="Calibri" w:eastAsia="Times New Roman" w:hAnsi="Calibri" w:cs="Times New Roman"/>
                <w:color w:val="000000"/>
                <w:lang w:eastAsia="en-GB"/>
              </w:rPr>
              <w:t>103</w:t>
            </w:r>
          </w:p>
        </w:tc>
        <w:tc>
          <w:tcPr>
            <w:tcW w:w="1843" w:type="dxa"/>
            <w:tcBorders>
              <w:top w:val="nil"/>
              <w:left w:val="nil"/>
              <w:bottom w:val="single" w:sz="4" w:space="0" w:color="auto"/>
              <w:right w:val="single" w:sz="4" w:space="0" w:color="auto"/>
            </w:tcBorders>
            <w:shd w:val="clear" w:color="auto" w:fill="auto"/>
            <w:noWrap/>
            <w:vAlign w:val="bottom"/>
          </w:tcPr>
          <w:p w:rsidR="00463C32" w:rsidRPr="00463C32" w:rsidRDefault="00463C32" w:rsidP="004245A2">
            <w:pPr>
              <w:spacing w:after="0" w:line="240" w:lineRule="auto"/>
              <w:jc w:val="both"/>
              <w:rPr>
                <w:rFonts w:ascii="Calibri" w:eastAsia="Times New Roman" w:hAnsi="Calibri" w:cs="Times New Roman"/>
                <w:color w:val="000000"/>
                <w:lang w:eastAsia="en-GB"/>
              </w:rPr>
            </w:pPr>
            <w:r w:rsidRPr="00463C32">
              <w:rPr>
                <w:rFonts w:ascii="Calibri" w:eastAsia="Times New Roman" w:hAnsi="Calibri" w:cs="Times New Roman"/>
                <w:color w:val="000000"/>
                <w:lang w:eastAsia="en-GB"/>
              </w:rPr>
              <w:t>1,069,443</w:t>
            </w:r>
          </w:p>
        </w:tc>
        <w:tc>
          <w:tcPr>
            <w:tcW w:w="3544" w:type="dxa"/>
            <w:tcBorders>
              <w:top w:val="nil"/>
              <w:left w:val="nil"/>
              <w:bottom w:val="single" w:sz="4" w:space="0" w:color="auto"/>
              <w:right w:val="single" w:sz="4" w:space="0" w:color="auto"/>
            </w:tcBorders>
            <w:shd w:val="clear" w:color="auto" w:fill="auto"/>
            <w:noWrap/>
            <w:vAlign w:val="bottom"/>
          </w:tcPr>
          <w:p w:rsidR="00463C32" w:rsidRPr="00463C32" w:rsidRDefault="004245A2" w:rsidP="004245A2">
            <w:pPr>
              <w:spacing w:after="0" w:line="240" w:lineRule="auto"/>
              <w:jc w:val="both"/>
              <w:rPr>
                <w:rFonts w:eastAsia="Times New Roman"/>
                <w:color w:val="000000"/>
                <w:lang w:eastAsia="en-GB"/>
              </w:rPr>
            </w:pPr>
            <w:r>
              <w:rPr>
                <w:rFonts w:eastAsia="Times New Roman"/>
                <w:color w:val="000000"/>
                <w:lang w:eastAsia="en-GB"/>
              </w:rPr>
              <w:t>19%</w:t>
            </w:r>
          </w:p>
        </w:tc>
      </w:tr>
    </w:tbl>
    <w:p w:rsidR="00463C32" w:rsidRDefault="00850D02" w:rsidP="004245A2">
      <w:pPr>
        <w:spacing w:after="0" w:line="240" w:lineRule="auto"/>
        <w:jc w:val="both"/>
        <w:rPr>
          <w:rFonts w:ascii="Calibri" w:hAnsi="Calibri"/>
        </w:rPr>
      </w:pPr>
      <w:r w:rsidRPr="00850D02">
        <w:rPr>
          <w:rFonts w:ascii="Calibri" w:hAnsi="Calibri"/>
          <w:i/>
        </w:rPr>
        <w:t>Source</w:t>
      </w:r>
      <w:r>
        <w:rPr>
          <w:rFonts w:ascii="Calibri" w:hAnsi="Calibri"/>
        </w:rPr>
        <w:t>: Author’s own research and CAC annual reports.</w:t>
      </w:r>
    </w:p>
    <w:p w:rsidR="00850D02" w:rsidRPr="00463C32" w:rsidRDefault="00850D02" w:rsidP="004245A2">
      <w:pPr>
        <w:spacing w:after="0" w:line="240" w:lineRule="auto"/>
        <w:jc w:val="both"/>
        <w:rPr>
          <w:rFonts w:ascii="Calibri" w:hAnsi="Calibri"/>
        </w:rPr>
      </w:pPr>
    </w:p>
    <w:p w:rsidR="00850D02" w:rsidRDefault="00850D02" w:rsidP="00850D02">
      <w:pPr>
        <w:spacing w:after="0" w:line="240" w:lineRule="auto"/>
        <w:jc w:val="both"/>
      </w:pPr>
      <w:r>
        <w:t xml:space="preserve">The known numbers covered by the new agreements represents only 60% of all agreements identified so that for the remaining 40% the numbers covered are unknown. Making a simple extrapolation </w:t>
      </w:r>
      <w:r w:rsidR="00136994">
        <w:t>one</w:t>
      </w:r>
      <w:r>
        <w:t xml:space="preserve"> can say that 1.782m workers are covered (</w:t>
      </w:r>
      <w:proofErr w:type="spellStart"/>
      <w:r>
        <w:t>ie</w:t>
      </w:r>
      <w:proofErr w:type="spellEnd"/>
      <w:r>
        <w:t xml:space="preserve"> 1.069m divided by 60 x 100) by all the agreements in the Table.</w:t>
      </w:r>
    </w:p>
    <w:p w:rsidR="00850D02" w:rsidRDefault="00850D02" w:rsidP="004245A2">
      <w:pPr>
        <w:spacing w:after="0" w:line="240" w:lineRule="auto"/>
        <w:jc w:val="both"/>
        <w:rPr>
          <w:rFonts w:ascii="Calibri" w:hAnsi="Calibri"/>
        </w:rPr>
      </w:pPr>
    </w:p>
    <w:p w:rsidR="00463C32" w:rsidRPr="00635812" w:rsidRDefault="00463C32" w:rsidP="004245A2">
      <w:pPr>
        <w:spacing w:after="0" w:line="240" w:lineRule="auto"/>
        <w:jc w:val="both"/>
        <w:rPr>
          <w:rFonts w:cs="Tahoma"/>
        </w:rPr>
      </w:pPr>
      <w:r>
        <w:rPr>
          <w:rFonts w:ascii="Calibri" w:hAnsi="Calibri"/>
        </w:rPr>
        <w:t xml:space="preserve">Since 2005, there has been a fair degree of diversity </w:t>
      </w:r>
      <w:r w:rsidR="00136994">
        <w:rPr>
          <w:rFonts w:ascii="Calibri" w:hAnsi="Calibri"/>
        </w:rPr>
        <w:t xml:space="preserve">amongst </w:t>
      </w:r>
      <w:r>
        <w:rPr>
          <w:rFonts w:ascii="Calibri" w:hAnsi="Calibri"/>
        </w:rPr>
        <w:t xml:space="preserve">which unions are gaining most agreements. </w:t>
      </w:r>
      <w:r>
        <w:t>Amongst the most active union in gaining new agreements has been the GMB general union. As the third biggest union and with a predominant focus upon the private sector, the GMB has signed nearly 400 new agreements since 2005 with just over 250 of these gained in the last five years. This puts it well ahead of the Unite union - which is the biggest union and also has a predominant focus upon the private sector – with just over 100 new agreements in the last five years. Meanwhile, the much smaller Community union has secured just under 30 new agreements in the last five years, slightly less than the RMT transport union but more than each of the CWU communications, PCS commercial, UCATT construction and Unison service sector unions</w:t>
      </w:r>
      <w:r w:rsidR="00136994">
        <w:t xml:space="preserve"> individually</w:t>
      </w:r>
      <w:r>
        <w:t xml:space="preserve">. Meantime, </w:t>
      </w:r>
      <w:proofErr w:type="spellStart"/>
      <w:r>
        <w:t>derecognition</w:t>
      </w:r>
      <w:proofErr w:type="spellEnd"/>
      <w:r>
        <w:t xml:space="preserve"> of u</w:t>
      </w:r>
      <w:r w:rsidR="00AC1F3E">
        <w:t>nions (</w:t>
      </w:r>
      <w:r>
        <w:t xml:space="preserve">continues to remain very much an exception. Even where attempted by employers, unions have been fairly successful in resisting </w:t>
      </w:r>
      <w:proofErr w:type="spellStart"/>
      <w:r>
        <w:t>derecognition</w:t>
      </w:r>
      <w:proofErr w:type="spellEnd"/>
      <w:r>
        <w:t>.</w:t>
      </w:r>
    </w:p>
    <w:p w:rsidR="00463C32" w:rsidRDefault="00463C32" w:rsidP="004245A2">
      <w:pPr>
        <w:spacing w:after="0" w:line="240" w:lineRule="auto"/>
        <w:jc w:val="both"/>
        <w:rPr>
          <w:rFonts w:ascii="Calibri" w:hAnsi="Calibri"/>
        </w:rPr>
      </w:pPr>
    </w:p>
    <w:p w:rsidR="00AC37B5" w:rsidRPr="00463C32" w:rsidRDefault="00463C32" w:rsidP="004245A2">
      <w:pPr>
        <w:pStyle w:val="BodyText"/>
        <w:jc w:val="both"/>
        <w:rPr>
          <w:rFonts w:ascii="Calibri" w:hAnsi="Calibri"/>
          <w:b/>
          <w:sz w:val="22"/>
          <w:szCs w:val="22"/>
        </w:rPr>
      </w:pPr>
      <w:r w:rsidRPr="00463C32">
        <w:rPr>
          <w:rFonts w:ascii="Calibri" w:hAnsi="Calibri"/>
          <w:b/>
          <w:sz w:val="22"/>
          <w:szCs w:val="22"/>
        </w:rPr>
        <w:t>Conclusion</w:t>
      </w:r>
    </w:p>
    <w:p w:rsidR="00A32684" w:rsidRDefault="00A32684" w:rsidP="004245A2">
      <w:pPr>
        <w:spacing w:after="0" w:line="240" w:lineRule="auto"/>
        <w:jc w:val="both"/>
        <w:rPr>
          <w:rFonts w:ascii="Calibri" w:hAnsi="Calibri"/>
        </w:rPr>
      </w:pPr>
    </w:p>
    <w:p w:rsidR="00850D02" w:rsidRDefault="00D53A6C" w:rsidP="004245A2">
      <w:pPr>
        <w:spacing w:after="0" w:line="240" w:lineRule="auto"/>
        <w:jc w:val="both"/>
        <w:rPr>
          <w:rFonts w:ascii="Calibri" w:hAnsi="Calibri"/>
        </w:rPr>
      </w:pPr>
      <w:r>
        <w:rPr>
          <w:rFonts w:ascii="Calibri" w:hAnsi="Calibri"/>
        </w:rPr>
        <w:t>Despite valiant efforts, u</w:t>
      </w:r>
      <w:r w:rsidR="00A32684" w:rsidRPr="00FA18B8">
        <w:rPr>
          <w:rFonts w:ascii="Calibri" w:hAnsi="Calibri"/>
        </w:rPr>
        <w:t xml:space="preserve">nions </w:t>
      </w:r>
      <w:r>
        <w:rPr>
          <w:rFonts w:ascii="Calibri" w:hAnsi="Calibri"/>
        </w:rPr>
        <w:t xml:space="preserve">overall </w:t>
      </w:r>
      <w:r w:rsidR="00A32684" w:rsidRPr="00FA18B8">
        <w:rPr>
          <w:rFonts w:ascii="Calibri" w:hAnsi="Calibri"/>
        </w:rPr>
        <w:t xml:space="preserve">are </w:t>
      </w:r>
      <w:r>
        <w:rPr>
          <w:rFonts w:ascii="Calibri" w:hAnsi="Calibri"/>
        </w:rPr>
        <w:t xml:space="preserve">having difficulty in </w:t>
      </w:r>
      <w:r w:rsidR="00850D02">
        <w:rPr>
          <w:rFonts w:ascii="Calibri" w:hAnsi="Calibri"/>
        </w:rPr>
        <w:t xml:space="preserve">merely </w:t>
      </w:r>
      <w:r w:rsidR="00A32684" w:rsidRPr="00FA18B8">
        <w:rPr>
          <w:rFonts w:ascii="Calibri" w:hAnsi="Calibri"/>
        </w:rPr>
        <w:t>‘running fast just to stand still’</w:t>
      </w:r>
      <w:r>
        <w:rPr>
          <w:rFonts w:ascii="Calibri" w:hAnsi="Calibri"/>
        </w:rPr>
        <w:t>.</w:t>
      </w:r>
    </w:p>
    <w:p w:rsidR="003B6018" w:rsidRPr="009C40A3" w:rsidRDefault="00850D02" w:rsidP="004245A2">
      <w:pPr>
        <w:spacing w:after="0" w:line="240" w:lineRule="auto"/>
        <w:jc w:val="both"/>
        <w:rPr>
          <w:b/>
          <w:sz w:val="24"/>
          <w:szCs w:val="24"/>
        </w:rPr>
      </w:pPr>
      <w:r>
        <w:t xml:space="preserve">In addition to the above, the extent of collective bargaining (on pay) has fallen from 34.6% of all employees in 2007 to 29.5% in 2013. The corresponding figures for the private and public sectors are respectively 20.0% down to 16.6% and 72.0% to 63.8%. </w:t>
      </w:r>
      <w:r w:rsidR="00D53A6C">
        <w:rPr>
          <w:rFonts w:ascii="Calibri" w:hAnsi="Calibri"/>
        </w:rPr>
        <w:t xml:space="preserve">Not only are legal and institutional changes needed in how industrial relations are governed but political and ideological changes in how society is governed are also needed if unions are to get back to where they used to be (like the 1990s) in terms of size and influence. Prime amongst these changes are the introduction of the right to engage in </w:t>
      </w:r>
      <w:proofErr w:type="spellStart"/>
      <w:r w:rsidR="00D53A6C">
        <w:rPr>
          <w:rFonts w:ascii="Calibri" w:hAnsi="Calibri"/>
        </w:rPr>
        <w:t>sectoral</w:t>
      </w:r>
      <w:proofErr w:type="spellEnd"/>
      <w:r w:rsidR="00D53A6C">
        <w:rPr>
          <w:rFonts w:ascii="Calibri" w:hAnsi="Calibri"/>
        </w:rPr>
        <w:t xml:space="preserve"> collective bargaining, an enhanced statutory union recognition procedure (and not just at a company or plant level) and ending the demonization of unions in society and the political process.</w:t>
      </w:r>
      <w:r w:rsidR="00136994">
        <w:rPr>
          <w:rFonts w:ascii="Calibri" w:hAnsi="Calibri"/>
        </w:rPr>
        <w:t xml:space="preserve"> The result of the May 7 general election will have a bearing on all of these – unfortunately far more of a negative than positive one.</w:t>
      </w:r>
      <w:r w:rsidR="00D53A6C">
        <w:rPr>
          <w:rFonts w:ascii="Calibri" w:hAnsi="Calibri"/>
        </w:rPr>
        <w:t xml:space="preserve">   </w:t>
      </w:r>
    </w:p>
    <w:sectPr w:rsidR="003B6018" w:rsidRPr="009C40A3" w:rsidSect="0034245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5C6" w:rsidRDefault="00C255C6" w:rsidP="00503245">
      <w:pPr>
        <w:spacing w:after="0" w:line="240" w:lineRule="auto"/>
      </w:pPr>
      <w:r>
        <w:separator/>
      </w:r>
    </w:p>
  </w:endnote>
  <w:endnote w:type="continuationSeparator" w:id="0">
    <w:p w:rsidR="00C255C6" w:rsidRDefault="00C255C6" w:rsidP="00503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Rmn 12p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abon">
    <w:panose1 w:val="00000000000000000000"/>
    <w:charset w:val="00"/>
    <w:family w:val="roman"/>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027705"/>
      <w:docPartObj>
        <w:docPartGallery w:val="Page Numbers (Bottom of Page)"/>
        <w:docPartUnique/>
      </w:docPartObj>
    </w:sdtPr>
    <w:sdtEndPr>
      <w:rPr>
        <w:noProof/>
      </w:rPr>
    </w:sdtEndPr>
    <w:sdtContent>
      <w:p w:rsidR="00304D41" w:rsidRDefault="00342453">
        <w:pPr>
          <w:pStyle w:val="Footer"/>
          <w:jc w:val="right"/>
        </w:pPr>
        <w:r>
          <w:fldChar w:fldCharType="begin"/>
        </w:r>
        <w:r w:rsidR="00304D41">
          <w:instrText xml:space="preserve"> PAGE   \* MERGEFORMAT </w:instrText>
        </w:r>
        <w:r>
          <w:fldChar w:fldCharType="separate"/>
        </w:r>
        <w:r w:rsidR="00191157">
          <w:rPr>
            <w:noProof/>
          </w:rPr>
          <w:t>6</w:t>
        </w:r>
        <w:r>
          <w:rPr>
            <w:noProof/>
          </w:rPr>
          <w:fldChar w:fldCharType="end"/>
        </w:r>
      </w:p>
    </w:sdtContent>
  </w:sdt>
  <w:p w:rsidR="00304D41" w:rsidRDefault="00304D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5C6" w:rsidRDefault="00C255C6" w:rsidP="00503245">
      <w:pPr>
        <w:spacing w:after="0" w:line="240" w:lineRule="auto"/>
      </w:pPr>
      <w:r>
        <w:separator/>
      </w:r>
    </w:p>
  </w:footnote>
  <w:footnote w:type="continuationSeparator" w:id="0">
    <w:p w:rsidR="00C255C6" w:rsidRDefault="00C255C6" w:rsidP="005032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22051"/>
    <w:multiLevelType w:val="hybridMultilevel"/>
    <w:tmpl w:val="FE3E21F0"/>
    <w:lvl w:ilvl="0" w:tplc="04090001">
      <w:start w:val="35"/>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E0F00A1"/>
    <w:multiLevelType w:val="singleLevel"/>
    <w:tmpl w:val="A29CC6FC"/>
    <w:lvl w:ilvl="0">
      <w:start w:val="1994"/>
      <w:numFmt w:val="decimal"/>
      <w:lvlText w:val="%1"/>
      <w:lvlJc w:val="left"/>
      <w:pPr>
        <w:tabs>
          <w:tab w:val="num" w:pos="1440"/>
        </w:tabs>
        <w:ind w:left="1440" w:hanging="1440"/>
      </w:pPr>
      <w:rPr>
        <w:rFonts w:hint="default"/>
      </w:rPr>
    </w:lvl>
  </w:abstractNum>
  <w:abstractNum w:abstractNumId="2">
    <w:nsid w:val="286E4CB0"/>
    <w:multiLevelType w:val="hybridMultilevel"/>
    <w:tmpl w:val="5176A4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CD70C4D"/>
    <w:multiLevelType w:val="multilevel"/>
    <w:tmpl w:val="0F48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4A4775"/>
    <w:multiLevelType w:val="multilevel"/>
    <w:tmpl w:val="49C2F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734ED8"/>
    <w:multiLevelType w:val="hybridMultilevel"/>
    <w:tmpl w:val="5BDEEF0C"/>
    <w:lvl w:ilvl="0" w:tplc="56FEADC8">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EA10AFD"/>
    <w:multiLevelType w:val="singleLevel"/>
    <w:tmpl w:val="98D6EA92"/>
    <w:lvl w:ilvl="0">
      <w:start w:val="15"/>
      <w:numFmt w:val="decimal"/>
      <w:lvlText w:val="%1) "/>
      <w:legacy w:legacy="1" w:legacySpace="0" w:legacyIndent="283"/>
      <w:lvlJc w:val="left"/>
      <w:pPr>
        <w:ind w:left="283" w:hanging="283"/>
      </w:pPr>
      <w:rPr>
        <w:rFonts w:ascii="TmsRmn 12pt" w:hAnsi="TmsRmn 12pt" w:hint="default"/>
        <w:b w:val="0"/>
        <w:i w:val="0"/>
        <w:sz w:val="24"/>
        <w:u w:val="none"/>
      </w:rPr>
    </w:lvl>
  </w:abstractNum>
  <w:abstractNum w:abstractNumId="7">
    <w:nsid w:val="61B51B01"/>
    <w:multiLevelType w:val="hybridMultilevel"/>
    <w:tmpl w:val="07BAA7FE"/>
    <w:lvl w:ilvl="0" w:tplc="08090001">
      <w:start w:val="55"/>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4CE08A8"/>
    <w:multiLevelType w:val="singleLevel"/>
    <w:tmpl w:val="679C243A"/>
    <w:lvl w:ilvl="0">
      <w:start w:val="1"/>
      <w:numFmt w:val="upperLetter"/>
      <w:lvlText w:val="%1)"/>
      <w:lvlJc w:val="left"/>
      <w:pPr>
        <w:tabs>
          <w:tab w:val="num" w:pos="360"/>
        </w:tabs>
        <w:ind w:left="360" w:hanging="360"/>
      </w:pPr>
      <w:rPr>
        <w:rFonts w:hint="default"/>
      </w:rPr>
    </w:lvl>
  </w:abstractNum>
  <w:abstractNum w:abstractNumId="9">
    <w:nsid w:val="6AD36B95"/>
    <w:multiLevelType w:val="hybridMultilevel"/>
    <w:tmpl w:val="9CD6464A"/>
    <w:lvl w:ilvl="0" w:tplc="F5E85A08">
      <w:start w:val="1"/>
      <w:numFmt w:val="lowerLetter"/>
      <w:lvlText w:val="%1)"/>
      <w:lvlJc w:val="left"/>
      <w:pPr>
        <w:ind w:left="1080" w:hanging="720"/>
      </w:pPr>
      <w:rPr>
        <w:rFonts w:ascii="Calibri" w:eastAsia="Times New Roman" w:hAnsi="Calibri" w:cs="Tahom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BF273A8"/>
    <w:multiLevelType w:val="singleLevel"/>
    <w:tmpl w:val="A330F9CE"/>
    <w:lvl w:ilvl="0">
      <w:start w:val="14"/>
      <w:numFmt w:val="decimal"/>
      <w:lvlText w:val="%1) "/>
      <w:legacy w:legacy="1" w:legacySpace="0" w:legacyIndent="283"/>
      <w:lvlJc w:val="left"/>
      <w:pPr>
        <w:ind w:left="283" w:hanging="283"/>
      </w:pPr>
      <w:rPr>
        <w:rFonts w:ascii="Times New Roman" w:hAnsi="Times New Roman" w:hint="default"/>
        <w:b w:val="0"/>
        <w:i w:val="0"/>
        <w:sz w:val="24"/>
        <w:u w:val="none"/>
      </w:rPr>
    </w:lvl>
  </w:abstractNum>
  <w:abstractNum w:abstractNumId="11">
    <w:nsid w:val="6EF74656"/>
    <w:multiLevelType w:val="hybridMultilevel"/>
    <w:tmpl w:val="21E470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FF37083"/>
    <w:multiLevelType w:val="singleLevel"/>
    <w:tmpl w:val="3462E81A"/>
    <w:lvl w:ilvl="0">
      <w:start w:val="24"/>
      <w:numFmt w:val="decimal"/>
      <w:lvlText w:val="%1) "/>
      <w:legacy w:legacy="1" w:legacySpace="0" w:legacyIndent="283"/>
      <w:lvlJc w:val="left"/>
      <w:pPr>
        <w:ind w:left="283" w:hanging="283"/>
      </w:pPr>
      <w:rPr>
        <w:rFonts w:ascii="Times New Roman" w:hAnsi="Times New Roman" w:hint="default"/>
        <w:b w:val="0"/>
        <w:i w:val="0"/>
        <w:sz w:val="24"/>
        <w:u w:val="none"/>
      </w:rPr>
    </w:lvl>
  </w:abstractNum>
  <w:num w:numId="1">
    <w:abstractNumId w:val="4"/>
  </w:num>
  <w:num w:numId="2">
    <w:abstractNumId w:val="3"/>
  </w:num>
  <w:num w:numId="3">
    <w:abstractNumId w:val="2"/>
  </w:num>
  <w:num w:numId="4">
    <w:abstractNumId w:val="9"/>
  </w:num>
  <w:num w:numId="5">
    <w:abstractNumId w:val="5"/>
  </w:num>
  <w:num w:numId="6">
    <w:abstractNumId w:val="11"/>
  </w:num>
  <w:num w:numId="7">
    <w:abstractNumId w:val="1"/>
  </w:num>
  <w:num w:numId="8">
    <w:abstractNumId w:val="6"/>
  </w:num>
  <w:num w:numId="9">
    <w:abstractNumId w:val="10"/>
  </w:num>
  <w:num w:numId="10">
    <w:abstractNumId w:val="10"/>
    <w:lvlOverride w:ilvl="0">
      <w:lvl w:ilvl="0">
        <w:start w:val="15"/>
        <w:numFmt w:val="decimal"/>
        <w:lvlText w:val="%1) "/>
        <w:legacy w:legacy="1" w:legacySpace="0" w:legacyIndent="283"/>
        <w:lvlJc w:val="left"/>
        <w:pPr>
          <w:ind w:left="283" w:hanging="283"/>
        </w:pPr>
        <w:rPr>
          <w:rFonts w:ascii="Times New Roman" w:hAnsi="Times New Roman" w:hint="default"/>
          <w:b w:val="0"/>
          <w:i w:val="0"/>
          <w:sz w:val="24"/>
          <w:u w:val="none"/>
        </w:rPr>
      </w:lvl>
    </w:lvlOverride>
  </w:num>
  <w:num w:numId="11">
    <w:abstractNumId w:val="10"/>
    <w:lvlOverride w:ilvl="0">
      <w:lvl w:ilvl="0">
        <w:start w:val="16"/>
        <w:numFmt w:val="decimal"/>
        <w:lvlText w:val="%1) "/>
        <w:legacy w:legacy="1" w:legacySpace="0" w:legacyIndent="283"/>
        <w:lvlJc w:val="left"/>
        <w:pPr>
          <w:ind w:left="283" w:hanging="283"/>
        </w:pPr>
        <w:rPr>
          <w:rFonts w:ascii="TmsRmn 12pt" w:hAnsi="TmsRmn 12pt" w:hint="default"/>
          <w:b w:val="0"/>
          <w:i w:val="0"/>
          <w:sz w:val="24"/>
          <w:u w:val="none"/>
        </w:rPr>
      </w:lvl>
    </w:lvlOverride>
  </w:num>
  <w:num w:numId="12">
    <w:abstractNumId w:val="12"/>
    <w:lvlOverride w:ilvl="0">
      <w:lvl w:ilvl="0">
        <w:start w:val="25"/>
        <w:numFmt w:val="decimal"/>
        <w:lvlText w:val="%1) "/>
        <w:legacy w:legacy="1" w:legacySpace="0" w:legacyIndent="283"/>
        <w:lvlJc w:val="left"/>
        <w:pPr>
          <w:ind w:left="283" w:hanging="283"/>
        </w:pPr>
        <w:rPr>
          <w:rFonts w:ascii="TmsRmn 12pt" w:hAnsi="TmsRmn 12pt" w:hint="default"/>
          <w:b w:val="0"/>
          <w:i w:val="0"/>
          <w:sz w:val="24"/>
          <w:u w:val="none"/>
        </w:rPr>
      </w:lvl>
    </w:lvlOverride>
  </w:num>
  <w:num w:numId="13">
    <w:abstractNumId w:val="8"/>
  </w:num>
  <w:num w:numId="14">
    <w:abstractNumId w:val="12"/>
  </w:num>
  <w:num w:numId="15">
    <w:abstractNumId w:val="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01512"/>
    <w:rsid w:val="00030FDA"/>
    <w:rsid w:val="0006782A"/>
    <w:rsid w:val="000C0A1D"/>
    <w:rsid w:val="00101920"/>
    <w:rsid w:val="00101CB5"/>
    <w:rsid w:val="00136994"/>
    <w:rsid w:val="001749BB"/>
    <w:rsid w:val="00176142"/>
    <w:rsid w:val="00191157"/>
    <w:rsid w:val="00196E5C"/>
    <w:rsid w:val="001A3C84"/>
    <w:rsid w:val="001C0D51"/>
    <w:rsid w:val="001C714B"/>
    <w:rsid w:val="0020121C"/>
    <w:rsid w:val="00215BCA"/>
    <w:rsid w:val="00220836"/>
    <w:rsid w:val="0029682B"/>
    <w:rsid w:val="002C676C"/>
    <w:rsid w:val="002E5C01"/>
    <w:rsid w:val="003009A4"/>
    <w:rsid w:val="00304D41"/>
    <w:rsid w:val="00310EE2"/>
    <w:rsid w:val="00337220"/>
    <w:rsid w:val="00342453"/>
    <w:rsid w:val="003A4F1B"/>
    <w:rsid w:val="003B25D3"/>
    <w:rsid w:val="003B6018"/>
    <w:rsid w:val="003D6D3A"/>
    <w:rsid w:val="004101E2"/>
    <w:rsid w:val="00413282"/>
    <w:rsid w:val="004237EA"/>
    <w:rsid w:val="004245A2"/>
    <w:rsid w:val="00463C32"/>
    <w:rsid w:val="00467109"/>
    <w:rsid w:val="00491A17"/>
    <w:rsid w:val="004A5EE4"/>
    <w:rsid w:val="004F2A99"/>
    <w:rsid w:val="00503245"/>
    <w:rsid w:val="0053364A"/>
    <w:rsid w:val="00537461"/>
    <w:rsid w:val="00546290"/>
    <w:rsid w:val="005A73C5"/>
    <w:rsid w:val="005C1674"/>
    <w:rsid w:val="005F4E81"/>
    <w:rsid w:val="0064319A"/>
    <w:rsid w:val="00665DDB"/>
    <w:rsid w:val="006A1A29"/>
    <w:rsid w:val="006C6A21"/>
    <w:rsid w:val="006D309C"/>
    <w:rsid w:val="006F2C2B"/>
    <w:rsid w:val="007077CD"/>
    <w:rsid w:val="00712668"/>
    <w:rsid w:val="007377E8"/>
    <w:rsid w:val="007425BA"/>
    <w:rsid w:val="007655DC"/>
    <w:rsid w:val="007A55F6"/>
    <w:rsid w:val="007F35FC"/>
    <w:rsid w:val="00836D9C"/>
    <w:rsid w:val="00850D02"/>
    <w:rsid w:val="008520B6"/>
    <w:rsid w:val="00857870"/>
    <w:rsid w:val="0089342C"/>
    <w:rsid w:val="008C3E39"/>
    <w:rsid w:val="008E0074"/>
    <w:rsid w:val="00901512"/>
    <w:rsid w:val="0090485A"/>
    <w:rsid w:val="0091723C"/>
    <w:rsid w:val="00917A29"/>
    <w:rsid w:val="009659DF"/>
    <w:rsid w:val="00967452"/>
    <w:rsid w:val="009C40A3"/>
    <w:rsid w:val="009C5D16"/>
    <w:rsid w:val="009F76A3"/>
    <w:rsid w:val="00A32684"/>
    <w:rsid w:val="00A674DD"/>
    <w:rsid w:val="00A950BB"/>
    <w:rsid w:val="00AC1D4B"/>
    <w:rsid w:val="00AC1F3E"/>
    <w:rsid w:val="00AC37B5"/>
    <w:rsid w:val="00AD0654"/>
    <w:rsid w:val="00B34866"/>
    <w:rsid w:val="00B35ADA"/>
    <w:rsid w:val="00BA65F4"/>
    <w:rsid w:val="00C255C6"/>
    <w:rsid w:val="00CB32A8"/>
    <w:rsid w:val="00CB5B06"/>
    <w:rsid w:val="00CC253F"/>
    <w:rsid w:val="00CC7642"/>
    <w:rsid w:val="00CD4A25"/>
    <w:rsid w:val="00CE022D"/>
    <w:rsid w:val="00D53A6C"/>
    <w:rsid w:val="00D73BA2"/>
    <w:rsid w:val="00DA7C89"/>
    <w:rsid w:val="00DB550B"/>
    <w:rsid w:val="00DE3849"/>
    <w:rsid w:val="00E00D81"/>
    <w:rsid w:val="00E62A68"/>
    <w:rsid w:val="00E708E9"/>
    <w:rsid w:val="00E91B50"/>
    <w:rsid w:val="00EB0078"/>
    <w:rsid w:val="00ED4F4C"/>
    <w:rsid w:val="00F732C6"/>
    <w:rsid w:val="00FD0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7902C0EF-7234-4964-9FC5-4BD39DCCF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453"/>
  </w:style>
  <w:style w:type="paragraph" w:styleId="Heading1">
    <w:name w:val="heading 1"/>
    <w:basedOn w:val="Normal"/>
    <w:next w:val="Normal"/>
    <w:link w:val="Heading1Char"/>
    <w:qFormat/>
    <w:rsid w:val="00537461"/>
    <w:pPr>
      <w:keepNext/>
      <w:spacing w:after="0" w:line="240" w:lineRule="auto"/>
      <w:outlineLvl w:val="0"/>
    </w:pPr>
    <w:rPr>
      <w:rFonts w:ascii="Times New Roman" w:eastAsia="Times New Roman" w:hAnsi="Times New Roman" w:cs="Times New Roman"/>
      <w:b/>
      <w:sz w:val="24"/>
      <w:szCs w:val="20"/>
    </w:rPr>
  </w:style>
  <w:style w:type="paragraph" w:styleId="Heading2">
    <w:name w:val="heading 2"/>
    <w:basedOn w:val="Normal"/>
    <w:next w:val="Normal"/>
    <w:link w:val="Heading2Char"/>
    <w:qFormat/>
    <w:rsid w:val="00AC37B5"/>
    <w:pPr>
      <w:keepNext/>
      <w:pBdr>
        <w:top w:val="single" w:sz="6" w:space="1" w:color="auto"/>
        <w:left w:val="single" w:sz="6" w:space="1" w:color="auto"/>
        <w:bottom w:val="single" w:sz="6" w:space="1" w:color="auto"/>
        <w:right w:val="single" w:sz="6" w:space="1" w:color="auto"/>
      </w:pBdr>
      <w:spacing w:after="0" w:line="240" w:lineRule="auto"/>
      <w:outlineLvl w:val="1"/>
    </w:pPr>
    <w:rPr>
      <w:rFonts w:ascii="Times New Roman" w:eastAsia="Times New Roman" w:hAnsi="Times New Roman" w:cs="Times New Roman"/>
      <w:sz w:val="24"/>
      <w:szCs w:val="20"/>
    </w:rPr>
  </w:style>
  <w:style w:type="paragraph" w:styleId="Heading3">
    <w:name w:val="heading 3"/>
    <w:basedOn w:val="Normal"/>
    <w:next w:val="Normal"/>
    <w:link w:val="Heading3Char"/>
    <w:qFormat/>
    <w:rsid w:val="00AC37B5"/>
    <w:pPr>
      <w:keepNext/>
      <w:spacing w:after="0" w:line="240" w:lineRule="auto"/>
      <w:outlineLvl w:val="2"/>
    </w:pPr>
    <w:rPr>
      <w:rFonts w:ascii="Times New Roman" w:eastAsia="Times New Roman" w:hAnsi="Times New Roman" w:cs="Times New Roman"/>
      <w:snapToGrid w:val="0"/>
      <w:color w:val="000000"/>
      <w:sz w:val="24"/>
      <w:szCs w:val="20"/>
    </w:rPr>
  </w:style>
  <w:style w:type="paragraph" w:styleId="Heading4">
    <w:name w:val="heading 4"/>
    <w:basedOn w:val="Normal"/>
    <w:next w:val="Normal"/>
    <w:link w:val="Heading4Char"/>
    <w:qFormat/>
    <w:rsid w:val="00AC37B5"/>
    <w:pPr>
      <w:keepNext/>
      <w:spacing w:after="0" w:line="240" w:lineRule="auto"/>
      <w:outlineLvl w:val="3"/>
    </w:pPr>
    <w:rPr>
      <w:rFonts w:ascii="Arial" w:eastAsia="Times New Roman" w:hAnsi="Arial" w:cs="Times New Roman"/>
      <w:sz w:val="24"/>
      <w:szCs w:val="20"/>
    </w:rPr>
  </w:style>
  <w:style w:type="paragraph" w:styleId="Heading5">
    <w:name w:val="heading 5"/>
    <w:basedOn w:val="Normal"/>
    <w:next w:val="Normal"/>
    <w:link w:val="Heading5Char"/>
    <w:uiPriority w:val="9"/>
    <w:unhideWhenUsed/>
    <w:qFormat/>
    <w:rsid w:val="00AC37B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AC37B5"/>
    <w:pPr>
      <w:keepNext/>
      <w:spacing w:after="0" w:line="240" w:lineRule="auto"/>
      <w:outlineLvl w:val="5"/>
    </w:pPr>
    <w:rPr>
      <w:rFonts w:ascii="Arial" w:eastAsia="Times New Roman" w:hAnsi="Arial" w:cs="Times New Roman"/>
      <w:sz w:val="28"/>
      <w:szCs w:val="20"/>
    </w:rPr>
  </w:style>
  <w:style w:type="paragraph" w:styleId="Heading7">
    <w:name w:val="heading 7"/>
    <w:basedOn w:val="Normal"/>
    <w:next w:val="Normal"/>
    <w:link w:val="Heading7Char"/>
    <w:qFormat/>
    <w:rsid w:val="00AC37B5"/>
    <w:pPr>
      <w:keepNext/>
      <w:spacing w:after="0" w:line="480" w:lineRule="auto"/>
      <w:outlineLvl w:val="6"/>
    </w:pPr>
    <w:rPr>
      <w:rFonts w:ascii="Arial" w:eastAsia="Times New Roman" w:hAnsi="Arial" w:cs="Times New Roman"/>
      <w:b/>
      <w:sz w:val="28"/>
      <w:szCs w:val="20"/>
    </w:rPr>
  </w:style>
  <w:style w:type="paragraph" w:styleId="Heading8">
    <w:name w:val="heading 8"/>
    <w:basedOn w:val="Normal"/>
    <w:next w:val="Normal"/>
    <w:link w:val="Heading8Char"/>
    <w:qFormat/>
    <w:rsid w:val="00AC37B5"/>
    <w:pPr>
      <w:keepNext/>
      <w:spacing w:after="0" w:line="240" w:lineRule="auto"/>
      <w:outlineLvl w:val="7"/>
    </w:pPr>
    <w:rPr>
      <w:rFonts w:ascii="Arial" w:eastAsia="Times New Roman" w:hAnsi="Arial" w:cs="Times New Roman"/>
      <w:b/>
      <w:sz w:val="20"/>
      <w:szCs w:val="20"/>
    </w:rPr>
  </w:style>
  <w:style w:type="paragraph" w:styleId="Heading9">
    <w:name w:val="heading 9"/>
    <w:basedOn w:val="Normal"/>
    <w:next w:val="Normal"/>
    <w:link w:val="Heading9Char"/>
    <w:qFormat/>
    <w:rsid w:val="00AC37B5"/>
    <w:pPr>
      <w:keepNext/>
      <w:spacing w:after="0" w:line="240" w:lineRule="auto"/>
      <w:outlineLvl w:val="8"/>
    </w:pPr>
    <w:rPr>
      <w:rFonts w:ascii="Arial" w:eastAsia="Times New Roman" w:hAnsi="Arial" w:cs="Times New Roman"/>
      <w:b/>
      <w:snapToGrid w:val="0"/>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7A29"/>
    <w:pPr>
      <w:spacing w:after="0"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rsid w:val="00537461"/>
    <w:rPr>
      <w:rFonts w:ascii="Times New Roman" w:eastAsia="Times New Roman" w:hAnsi="Times New Roman" w:cs="Times New Roman"/>
      <w:b/>
      <w:sz w:val="24"/>
      <w:szCs w:val="20"/>
    </w:rPr>
  </w:style>
  <w:style w:type="paragraph" w:styleId="BodyText">
    <w:name w:val="Body Text"/>
    <w:basedOn w:val="Normal"/>
    <w:link w:val="BodyTextChar"/>
    <w:rsid w:val="00537461"/>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537461"/>
    <w:rPr>
      <w:rFonts w:ascii="Times New Roman" w:eastAsia="Times New Roman" w:hAnsi="Times New Roman" w:cs="Times New Roman"/>
      <w:sz w:val="24"/>
      <w:szCs w:val="20"/>
    </w:rPr>
  </w:style>
  <w:style w:type="paragraph" w:styleId="BalloonText">
    <w:name w:val="Balloon Text"/>
    <w:basedOn w:val="Normal"/>
    <w:link w:val="BalloonTextChar"/>
    <w:semiHidden/>
    <w:unhideWhenUsed/>
    <w:rsid w:val="00537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537461"/>
    <w:rPr>
      <w:rFonts w:ascii="Tahoma" w:hAnsi="Tahoma" w:cs="Tahoma"/>
      <w:sz w:val="16"/>
      <w:szCs w:val="16"/>
    </w:rPr>
  </w:style>
  <w:style w:type="paragraph" w:styleId="ListParagraph">
    <w:name w:val="List Paragraph"/>
    <w:basedOn w:val="Normal"/>
    <w:uiPriority w:val="34"/>
    <w:qFormat/>
    <w:rsid w:val="006D309C"/>
    <w:pPr>
      <w:spacing w:after="0" w:line="240" w:lineRule="auto"/>
      <w:ind w:left="720"/>
      <w:contextualSpacing/>
    </w:pPr>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35ADA"/>
    <w:rPr>
      <w:color w:val="0000FF" w:themeColor="hyperlink"/>
      <w:u w:val="single"/>
    </w:rPr>
  </w:style>
  <w:style w:type="paragraph" w:styleId="Header">
    <w:name w:val="header"/>
    <w:basedOn w:val="Normal"/>
    <w:link w:val="HeaderChar"/>
    <w:unhideWhenUsed/>
    <w:rsid w:val="00503245"/>
    <w:pPr>
      <w:tabs>
        <w:tab w:val="center" w:pos="4513"/>
        <w:tab w:val="right" w:pos="9026"/>
      </w:tabs>
      <w:spacing w:after="0" w:line="240" w:lineRule="auto"/>
    </w:pPr>
  </w:style>
  <w:style w:type="character" w:customStyle="1" w:styleId="HeaderChar">
    <w:name w:val="Header Char"/>
    <w:basedOn w:val="DefaultParagraphFont"/>
    <w:link w:val="Header"/>
    <w:rsid w:val="00503245"/>
  </w:style>
  <w:style w:type="paragraph" w:styleId="Footer">
    <w:name w:val="footer"/>
    <w:basedOn w:val="Normal"/>
    <w:link w:val="FooterChar"/>
    <w:unhideWhenUsed/>
    <w:rsid w:val="00503245"/>
    <w:pPr>
      <w:tabs>
        <w:tab w:val="center" w:pos="4513"/>
        <w:tab w:val="right" w:pos="9026"/>
      </w:tabs>
      <w:spacing w:after="0" w:line="240" w:lineRule="auto"/>
    </w:pPr>
  </w:style>
  <w:style w:type="character" w:customStyle="1" w:styleId="FooterChar">
    <w:name w:val="Footer Char"/>
    <w:basedOn w:val="DefaultParagraphFont"/>
    <w:link w:val="Footer"/>
    <w:rsid w:val="00503245"/>
  </w:style>
  <w:style w:type="character" w:customStyle="1" w:styleId="Heading5Char">
    <w:name w:val="Heading 5 Char"/>
    <w:basedOn w:val="DefaultParagraphFont"/>
    <w:link w:val="Heading5"/>
    <w:uiPriority w:val="9"/>
    <w:rsid w:val="00AC37B5"/>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rsid w:val="00AC37B5"/>
    <w:rPr>
      <w:rFonts w:ascii="Times New Roman" w:eastAsia="Times New Roman" w:hAnsi="Times New Roman" w:cs="Times New Roman"/>
      <w:sz w:val="24"/>
      <w:szCs w:val="20"/>
    </w:rPr>
  </w:style>
  <w:style w:type="character" w:customStyle="1" w:styleId="Heading3Char">
    <w:name w:val="Heading 3 Char"/>
    <w:basedOn w:val="DefaultParagraphFont"/>
    <w:link w:val="Heading3"/>
    <w:rsid w:val="00AC37B5"/>
    <w:rPr>
      <w:rFonts w:ascii="Times New Roman" w:eastAsia="Times New Roman" w:hAnsi="Times New Roman" w:cs="Times New Roman"/>
      <w:snapToGrid w:val="0"/>
      <w:color w:val="000000"/>
      <w:sz w:val="24"/>
      <w:szCs w:val="20"/>
    </w:rPr>
  </w:style>
  <w:style w:type="character" w:customStyle="1" w:styleId="Heading4Char">
    <w:name w:val="Heading 4 Char"/>
    <w:basedOn w:val="DefaultParagraphFont"/>
    <w:link w:val="Heading4"/>
    <w:rsid w:val="00AC37B5"/>
    <w:rPr>
      <w:rFonts w:ascii="Arial" w:eastAsia="Times New Roman" w:hAnsi="Arial" w:cs="Times New Roman"/>
      <w:sz w:val="24"/>
      <w:szCs w:val="20"/>
    </w:rPr>
  </w:style>
  <w:style w:type="character" w:customStyle="1" w:styleId="Heading6Char">
    <w:name w:val="Heading 6 Char"/>
    <w:basedOn w:val="DefaultParagraphFont"/>
    <w:link w:val="Heading6"/>
    <w:rsid w:val="00AC37B5"/>
    <w:rPr>
      <w:rFonts w:ascii="Arial" w:eastAsia="Times New Roman" w:hAnsi="Arial" w:cs="Times New Roman"/>
      <w:sz w:val="28"/>
      <w:szCs w:val="20"/>
    </w:rPr>
  </w:style>
  <w:style w:type="character" w:customStyle="1" w:styleId="Heading7Char">
    <w:name w:val="Heading 7 Char"/>
    <w:basedOn w:val="DefaultParagraphFont"/>
    <w:link w:val="Heading7"/>
    <w:rsid w:val="00AC37B5"/>
    <w:rPr>
      <w:rFonts w:ascii="Arial" w:eastAsia="Times New Roman" w:hAnsi="Arial" w:cs="Times New Roman"/>
      <w:b/>
      <w:sz w:val="28"/>
      <w:szCs w:val="20"/>
    </w:rPr>
  </w:style>
  <w:style w:type="character" w:customStyle="1" w:styleId="Heading8Char">
    <w:name w:val="Heading 8 Char"/>
    <w:basedOn w:val="DefaultParagraphFont"/>
    <w:link w:val="Heading8"/>
    <w:rsid w:val="00AC37B5"/>
    <w:rPr>
      <w:rFonts w:ascii="Arial" w:eastAsia="Times New Roman" w:hAnsi="Arial" w:cs="Times New Roman"/>
      <w:b/>
      <w:sz w:val="20"/>
      <w:szCs w:val="20"/>
    </w:rPr>
  </w:style>
  <w:style w:type="character" w:customStyle="1" w:styleId="Heading9Char">
    <w:name w:val="Heading 9 Char"/>
    <w:basedOn w:val="DefaultParagraphFont"/>
    <w:link w:val="Heading9"/>
    <w:rsid w:val="00AC37B5"/>
    <w:rPr>
      <w:rFonts w:ascii="Arial" w:eastAsia="Times New Roman" w:hAnsi="Arial" w:cs="Times New Roman"/>
      <w:b/>
      <w:snapToGrid w:val="0"/>
      <w:color w:val="000000"/>
      <w:sz w:val="20"/>
      <w:szCs w:val="20"/>
    </w:rPr>
  </w:style>
  <w:style w:type="character" w:styleId="PageNumber">
    <w:name w:val="page number"/>
    <w:basedOn w:val="DefaultParagraphFont"/>
    <w:rsid w:val="00AC37B5"/>
  </w:style>
  <w:style w:type="paragraph" w:styleId="BodyText2">
    <w:name w:val="Body Text 2"/>
    <w:basedOn w:val="Normal"/>
    <w:link w:val="BodyText2Char"/>
    <w:rsid w:val="00AC37B5"/>
    <w:pPr>
      <w:spacing w:after="0" w:line="240" w:lineRule="auto"/>
    </w:pPr>
    <w:rPr>
      <w:rFonts w:ascii="Times New Roman" w:eastAsia="Times New Roman" w:hAnsi="Times New Roman" w:cs="Times New Roman"/>
      <w:b/>
      <w:sz w:val="24"/>
      <w:szCs w:val="20"/>
    </w:rPr>
  </w:style>
  <w:style w:type="character" w:customStyle="1" w:styleId="BodyText2Char">
    <w:name w:val="Body Text 2 Char"/>
    <w:basedOn w:val="DefaultParagraphFont"/>
    <w:link w:val="BodyText2"/>
    <w:rsid w:val="00AC37B5"/>
    <w:rPr>
      <w:rFonts w:ascii="Times New Roman" w:eastAsia="Times New Roman" w:hAnsi="Times New Roman" w:cs="Times New Roman"/>
      <w:b/>
      <w:sz w:val="24"/>
      <w:szCs w:val="20"/>
    </w:rPr>
  </w:style>
  <w:style w:type="paragraph" w:styleId="BodyText3">
    <w:name w:val="Body Text 3"/>
    <w:basedOn w:val="Normal"/>
    <w:link w:val="BodyText3Char"/>
    <w:rsid w:val="00AC37B5"/>
    <w:pPr>
      <w:tabs>
        <w:tab w:val="left" w:pos="-720"/>
      </w:tabs>
      <w:suppressAutoHyphens/>
      <w:spacing w:after="0" w:line="240" w:lineRule="auto"/>
      <w:jc w:val="both"/>
    </w:pPr>
    <w:rPr>
      <w:rFonts w:ascii="Times New Roman" w:eastAsia="Times New Roman" w:hAnsi="Times New Roman" w:cs="Times New Roman"/>
      <w:spacing w:val="-3"/>
      <w:sz w:val="24"/>
      <w:szCs w:val="20"/>
    </w:rPr>
  </w:style>
  <w:style w:type="character" w:customStyle="1" w:styleId="BodyText3Char">
    <w:name w:val="Body Text 3 Char"/>
    <w:basedOn w:val="DefaultParagraphFont"/>
    <w:link w:val="BodyText3"/>
    <w:rsid w:val="00AC37B5"/>
    <w:rPr>
      <w:rFonts w:ascii="Times New Roman" w:eastAsia="Times New Roman" w:hAnsi="Times New Roman" w:cs="Times New Roman"/>
      <w:spacing w:val="-3"/>
      <w:sz w:val="24"/>
      <w:szCs w:val="20"/>
    </w:rPr>
  </w:style>
  <w:style w:type="paragraph" w:styleId="FootnoteText">
    <w:name w:val="footnote text"/>
    <w:basedOn w:val="Normal"/>
    <w:link w:val="FootnoteTextChar"/>
    <w:uiPriority w:val="99"/>
    <w:semiHidden/>
    <w:rsid w:val="00AC37B5"/>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AC37B5"/>
    <w:rPr>
      <w:rFonts w:ascii="Times New Roman" w:eastAsia="Times New Roman" w:hAnsi="Times New Roman" w:cs="Times New Roman"/>
      <w:sz w:val="20"/>
      <w:szCs w:val="20"/>
    </w:rPr>
  </w:style>
  <w:style w:type="paragraph" w:customStyle="1" w:styleId="T9TextBody">
    <w:name w:val="T9TextBody"/>
    <w:basedOn w:val="Normal"/>
    <w:rsid w:val="00AC37B5"/>
    <w:pPr>
      <w:spacing w:after="320" w:line="326" w:lineRule="exact"/>
    </w:pPr>
    <w:rPr>
      <w:rFonts w:ascii="Sabon" w:eastAsia="Times New Roman" w:hAnsi="Sabon" w:cs="Times New Roman"/>
      <w:snapToGrid w:val="0"/>
      <w:szCs w:val="20"/>
    </w:rPr>
  </w:style>
  <w:style w:type="character" w:customStyle="1" w:styleId="EndnoteTextChar">
    <w:name w:val="Endnote Text Char"/>
    <w:basedOn w:val="DefaultParagraphFont"/>
    <w:link w:val="EndnoteText"/>
    <w:semiHidden/>
    <w:rsid w:val="00AC37B5"/>
    <w:rPr>
      <w:rFonts w:ascii="Times New Roman" w:eastAsia="Times New Roman" w:hAnsi="Times New Roman"/>
    </w:rPr>
  </w:style>
  <w:style w:type="paragraph" w:styleId="EndnoteText">
    <w:name w:val="endnote text"/>
    <w:basedOn w:val="Normal"/>
    <w:link w:val="EndnoteTextChar"/>
    <w:semiHidden/>
    <w:rsid w:val="00AC37B5"/>
    <w:pPr>
      <w:spacing w:after="0" w:line="240" w:lineRule="auto"/>
    </w:pPr>
    <w:rPr>
      <w:rFonts w:ascii="Times New Roman" w:eastAsia="Times New Roman" w:hAnsi="Times New Roman"/>
    </w:rPr>
  </w:style>
  <w:style w:type="character" w:customStyle="1" w:styleId="EndnoteTextChar1">
    <w:name w:val="Endnote Text Char1"/>
    <w:basedOn w:val="DefaultParagraphFont"/>
    <w:uiPriority w:val="99"/>
    <w:semiHidden/>
    <w:rsid w:val="00AC37B5"/>
    <w:rPr>
      <w:sz w:val="20"/>
      <w:szCs w:val="20"/>
    </w:rPr>
  </w:style>
  <w:style w:type="paragraph" w:styleId="Caption">
    <w:name w:val="caption"/>
    <w:basedOn w:val="Normal"/>
    <w:next w:val="Normal"/>
    <w:qFormat/>
    <w:rsid w:val="00AC37B5"/>
    <w:pPr>
      <w:spacing w:before="120" w:after="120" w:line="240" w:lineRule="auto"/>
    </w:pPr>
    <w:rPr>
      <w:rFonts w:ascii="Times New Roman" w:eastAsia="Times New Roman" w:hAnsi="Times New Roman" w:cs="Times New Roman"/>
      <w:b/>
      <w:bCs/>
      <w:sz w:val="20"/>
      <w:szCs w:val="20"/>
    </w:rPr>
  </w:style>
  <w:style w:type="paragraph" w:styleId="PlainText">
    <w:name w:val="Plain Text"/>
    <w:basedOn w:val="Normal"/>
    <w:link w:val="PlainTextChar"/>
    <w:rsid w:val="00AC37B5"/>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AC37B5"/>
    <w:rPr>
      <w:rFonts w:ascii="Courier New" w:eastAsia="Times New Roman" w:hAnsi="Courier New"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1127430">
      <w:bodyDiv w:val="1"/>
      <w:marLeft w:val="0"/>
      <w:marRight w:val="0"/>
      <w:marTop w:val="0"/>
      <w:marBottom w:val="0"/>
      <w:divBdr>
        <w:top w:val="none" w:sz="0" w:space="0" w:color="auto"/>
        <w:left w:val="none" w:sz="0" w:space="0" w:color="auto"/>
        <w:bottom w:val="none" w:sz="0" w:space="0" w:color="auto"/>
        <w:right w:val="none" w:sz="0" w:space="0" w:color="auto"/>
      </w:divBdr>
    </w:div>
    <w:div w:id="1743864902">
      <w:bodyDiv w:val="1"/>
      <w:marLeft w:val="0"/>
      <w:marRight w:val="0"/>
      <w:marTop w:val="0"/>
      <w:marBottom w:val="0"/>
      <w:divBdr>
        <w:top w:val="none" w:sz="0" w:space="0" w:color="auto"/>
        <w:left w:val="none" w:sz="0" w:space="0" w:color="auto"/>
        <w:bottom w:val="none" w:sz="0" w:space="0" w:color="auto"/>
        <w:right w:val="none" w:sz="0" w:space="0" w:color="auto"/>
      </w:divBdr>
      <w:divsChild>
        <w:div w:id="1727727946">
          <w:marLeft w:val="0"/>
          <w:marRight w:val="0"/>
          <w:marTop w:val="0"/>
          <w:marBottom w:val="0"/>
          <w:divBdr>
            <w:top w:val="none" w:sz="0" w:space="0" w:color="auto"/>
            <w:left w:val="none" w:sz="0" w:space="0" w:color="auto"/>
            <w:bottom w:val="none" w:sz="0" w:space="0" w:color="auto"/>
            <w:right w:val="none" w:sz="0" w:space="0" w:color="auto"/>
          </w:divBdr>
          <w:divsChild>
            <w:div w:id="1288774079">
              <w:marLeft w:val="0"/>
              <w:marRight w:val="0"/>
              <w:marTop w:val="0"/>
              <w:marBottom w:val="0"/>
              <w:divBdr>
                <w:top w:val="none" w:sz="0" w:space="0" w:color="auto"/>
                <w:left w:val="none" w:sz="0" w:space="0" w:color="auto"/>
                <w:bottom w:val="none" w:sz="0" w:space="0" w:color="auto"/>
                <w:right w:val="none" w:sz="0" w:space="0" w:color="auto"/>
              </w:divBdr>
              <w:divsChild>
                <w:div w:id="99958493">
                  <w:marLeft w:val="0"/>
                  <w:marRight w:val="0"/>
                  <w:marTop w:val="0"/>
                  <w:marBottom w:val="0"/>
                  <w:divBdr>
                    <w:top w:val="none" w:sz="0" w:space="0" w:color="auto"/>
                    <w:left w:val="none" w:sz="0" w:space="0" w:color="auto"/>
                    <w:bottom w:val="none" w:sz="0" w:space="0" w:color="auto"/>
                    <w:right w:val="none" w:sz="0" w:space="0" w:color="auto"/>
                  </w:divBdr>
                  <w:divsChild>
                    <w:div w:id="133375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944538">
              <w:marLeft w:val="0"/>
              <w:marRight w:val="0"/>
              <w:marTop w:val="0"/>
              <w:marBottom w:val="0"/>
              <w:divBdr>
                <w:top w:val="none" w:sz="0" w:space="0" w:color="auto"/>
                <w:left w:val="none" w:sz="0" w:space="0" w:color="auto"/>
                <w:bottom w:val="none" w:sz="0" w:space="0" w:color="auto"/>
                <w:right w:val="none" w:sz="0" w:space="0" w:color="auto"/>
              </w:divBdr>
              <w:divsChild>
                <w:div w:id="1509324580">
                  <w:marLeft w:val="0"/>
                  <w:marRight w:val="0"/>
                  <w:marTop w:val="0"/>
                  <w:marBottom w:val="0"/>
                  <w:divBdr>
                    <w:top w:val="none" w:sz="0" w:space="0" w:color="auto"/>
                    <w:left w:val="none" w:sz="0" w:space="0" w:color="auto"/>
                    <w:bottom w:val="none" w:sz="0" w:space="0" w:color="auto"/>
                    <w:right w:val="none" w:sz="0" w:space="0" w:color="auto"/>
                  </w:divBdr>
                  <w:divsChild>
                    <w:div w:id="745735551">
                      <w:marLeft w:val="0"/>
                      <w:marRight w:val="0"/>
                      <w:marTop w:val="0"/>
                      <w:marBottom w:val="0"/>
                      <w:divBdr>
                        <w:top w:val="none" w:sz="0" w:space="0" w:color="auto"/>
                        <w:left w:val="none" w:sz="0" w:space="0" w:color="auto"/>
                        <w:bottom w:val="none" w:sz="0" w:space="0" w:color="auto"/>
                        <w:right w:val="none" w:sz="0" w:space="0" w:color="auto"/>
                      </w:divBdr>
                    </w:div>
                    <w:div w:id="832141489">
                      <w:marLeft w:val="0"/>
                      <w:marRight w:val="0"/>
                      <w:marTop w:val="0"/>
                      <w:marBottom w:val="0"/>
                      <w:divBdr>
                        <w:top w:val="none" w:sz="0" w:space="0" w:color="auto"/>
                        <w:left w:val="none" w:sz="0" w:space="0" w:color="auto"/>
                        <w:bottom w:val="none" w:sz="0" w:space="0" w:color="auto"/>
                        <w:right w:val="none" w:sz="0" w:space="0" w:color="auto"/>
                      </w:divBdr>
                      <w:divsChild>
                        <w:div w:id="529956167">
                          <w:marLeft w:val="0"/>
                          <w:marRight w:val="0"/>
                          <w:marTop w:val="0"/>
                          <w:marBottom w:val="0"/>
                          <w:divBdr>
                            <w:top w:val="none" w:sz="0" w:space="0" w:color="auto"/>
                            <w:left w:val="none" w:sz="0" w:space="0" w:color="auto"/>
                            <w:bottom w:val="none" w:sz="0" w:space="0" w:color="auto"/>
                            <w:right w:val="none" w:sz="0" w:space="0" w:color="auto"/>
                          </w:divBdr>
                          <w:divsChild>
                            <w:div w:id="1382560485">
                              <w:marLeft w:val="0"/>
                              <w:marRight w:val="0"/>
                              <w:marTop w:val="0"/>
                              <w:marBottom w:val="0"/>
                              <w:divBdr>
                                <w:top w:val="none" w:sz="0" w:space="0" w:color="auto"/>
                                <w:left w:val="none" w:sz="0" w:space="0" w:color="auto"/>
                                <w:bottom w:val="none" w:sz="0" w:space="0" w:color="auto"/>
                                <w:right w:val="none" w:sz="0" w:space="0" w:color="auto"/>
                              </w:divBdr>
                              <w:divsChild>
                                <w:div w:id="190618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548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northernlightspr.com/case-studie/bradford-university-school-of-management-business-school-makes-innovative-link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2503</Words>
  <Characters>14270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Hertfordshire</Company>
  <LinksUpToDate>false</LinksUpToDate>
  <CharactersWithSpaces>16740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Business School</dc:creator>
  <cp:lastModifiedBy>Branch Editor</cp:lastModifiedBy>
  <cp:revision>1</cp:revision>
  <dcterms:created xsi:type="dcterms:W3CDTF">2015-04-14T11:31:00Z</dcterms:created>
  <dcterms:modified xsi:type="dcterms:W3CDTF">2015-04-14T11:31:00Z</dcterms:modified>
</cp:coreProperties>
</file>